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CFC31" w14:textId="77777777" w:rsidR="00C27AD1" w:rsidRDefault="00C27AD1">
      <w:pPr>
        <w:spacing w:after="160" w:line="259" w:lineRule="auto"/>
        <w:jc w:val="center"/>
      </w:pPr>
      <w:r>
        <w:rPr>
          <w:rFonts w:ascii="Tahoma" w:hAnsi="Tahoma" w:cs="Tahoma"/>
          <w:b/>
          <w:bCs/>
          <w:color w:val="2F5496"/>
          <w:sz w:val="32"/>
          <w:szCs w:val="32"/>
          <w:lang w:val="sr-Cyrl-RS"/>
        </w:rPr>
        <w:t>Крупањ</w:t>
      </w:r>
    </w:p>
    <w:p w14:paraId="44C3E341" w14:textId="77777777" w:rsidR="00C27AD1" w:rsidRDefault="00C27AD1">
      <w:pPr>
        <w:spacing w:after="160" w:line="259" w:lineRule="auto"/>
        <w:jc w:val="center"/>
      </w:pPr>
      <w:r>
        <w:rPr>
          <w:rStyle w:val="Heading1Char"/>
          <w:rFonts w:ascii="Tahoma" w:hAnsi="Tahoma" w:cs="Tahoma"/>
          <w:w w:val="110"/>
          <w:lang w:val="sr-Cyrl-RS"/>
        </w:rPr>
        <w:t>Образовање</w:t>
      </w:r>
    </w:p>
    <w:p w14:paraId="29F20D68" w14:textId="77777777" w:rsidR="00C27AD1" w:rsidRDefault="00C27AD1">
      <w:pPr>
        <w:rPr>
          <w:lang w:val="sr-Cyrl-RS"/>
        </w:rPr>
      </w:pPr>
    </w:p>
    <w:p w14:paraId="45F90B9F" w14:textId="77777777" w:rsidR="00C27AD1" w:rsidRDefault="00C27AD1">
      <w:pPr>
        <w:pStyle w:val="Heading1"/>
        <w:spacing w:after="240"/>
      </w:pPr>
      <w:r>
        <w:rPr>
          <w:rFonts w:ascii="Tahoma" w:hAnsi="Tahoma" w:cs="Tahoma"/>
          <w:b/>
          <w:bCs/>
          <w:sz w:val="28"/>
          <w:szCs w:val="28"/>
          <w:lang w:val="sr-Cyrl-RS"/>
        </w:rPr>
        <w:t>Надлежност и финансирање ЈЛС у сектору образовања</w:t>
      </w:r>
    </w:p>
    <w:p w14:paraId="7E3FBF7B" w14:textId="77777777" w:rsidR="00C27AD1" w:rsidRDefault="00C27AD1">
      <w:pPr>
        <w:spacing w:after="160" w:line="259" w:lineRule="auto"/>
        <w:jc w:val="both"/>
      </w:pPr>
      <w:r>
        <w:rPr>
          <w:rFonts w:ascii="Tahoma" w:eastAsia="Calibri" w:hAnsi="Tahoma" w:cs="Tahoma"/>
          <w:b/>
          <w:bCs/>
          <w:color w:val="2F5496"/>
          <w:sz w:val="22"/>
          <w:szCs w:val="22"/>
          <w:lang w:val="sr-Cyrl-RS"/>
        </w:rPr>
        <w:t>Предшколско васпитање и образовање (ПВО) је доминантно у мандату јединица локалне самоуправе (ЈЛС) док за основно и средње образовање ЈЛС финансира текуће одржавање школа</w:t>
      </w:r>
      <w:r>
        <w:rPr>
          <w:rStyle w:val="FootnoteCharacters"/>
          <w:rFonts w:ascii="Tahoma" w:eastAsia="Calibri" w:hAnsi="Tahoma" w:cs="Tahoma"/>
          <w:b/>
          <w:bCs/>
          <w:i/>
          <w:color w:val="2F5496"/>
          <w:sz w:val="22"/>
          <w:szCs w:val="22"/>
          <w:vertAlign w:val="baseline"/>
          <w:lang w:val="sr-Cyrl-RS"/>
        </w:rPr>
        <w:t xml:space="preserve"> </w:t>
      </w:r>
      <w:r>
        <w:rPr>
          <w:rStyle w:val="FootnoteCharacters"/>
          <w:rFonts w:ascii="Tahoma" w:eastAsia="Calibri" w:hAnsi="Tahoma" w:cs="Tahoma"/>
          <w:b/>
          <w:bCs/>
          <w:color w:val="2F5496"/>
          <w:sz w:val="22"/>
          <w:szCs w:val="22"/>
          <w:lang w:val="sr-Cyrl-RS"/>
        </w:rPr>
        <w:footnoteReference w:id="1"/>
      </w:r>
      <w:r>
        <w:rPr>
          <w:rFonts w:ascii="Tahoma" w:eastAsia="Calibri" w:hAnsi="Tahoma" w:cs="Tahoma"/>
          <w:b/>
          <w:bCs/>
          <w:color w:val="2F5496"/>
          <w:sz w:val="22"/>
          <w:szCs w:val="22"/>
          <w:lang w:val="sr-Cyrl-RS"/>
        </w:rPr>
        <w:t>.</w:t>
      </w:r>
      <w:r>
        <w:rPr>
          <w:rFonts w:ascii="Tahoma" w:eastAsia="Calibri" w:hAnsi="Tahoma" w:cs="Tahoma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color w:val="333333"/>
          <w:sz w:val="22"/>
          <w:szCs w:val="22"/>
          <w:lang w:val="sr-Cyrl-RS"/>
        </w:rPr>
        <w:t>За све нивое образовања (предшколско, основно и средње) локални ниво финансира стручно усавршавање запослених, јубиларне награде, превоз запослених; затим превоз деце и њихових пратилаца ради похађања припремног предшколског програма (ППП) на удаљености већој од два километра и ученика основне школе на удаљености већој од четири километра од седишта школе; превоз, смештај и исхрану деце и ученика са сметњама у развоју, без обзира на удаљеност места становања од школе; превоз ученика на републичка и међународна такмичења; заштиту и безбедност деце и ученика и капиталне издатке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2"/>
      </w:r>
      <w:r>
        <w:rPr>
          <w:rFonts w:ascii="Tahoma" w:hAnsi="Tahoma" w:cs="Tahoma"/>
          <w:sz w:val="22"/>
          <w:szCs w:val="22"/>
          <w:lang w:val="sr-Cyrl-RS"/>
        </w:rPr>
        <w:t>.</w:t>
      </w:r>
    </w:p>
    <w:p w14:paraId="6EA1C106" w14:textId="77777777" w:rsidR="00C27AD1" w:rsidRDefault="00C27AD1">
      <w:pPr>
        <w:pStyle w:val="FootnoteText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Финансирање ПВО је регулисано тако да локалне самоуправе финансирају до 80% од ‘економске цене’ по детету, а родитељи преосталих 20% од цене, од чега се изузимају деца без родитељског старања, деца са сметњама у развоју и инвалидитетом и деца из материјално угрожених</w:t>
      </w:r>
      <w:r>
        <w:rPr>
          <w:rFonts w:ascii="Tahoma" w:hAnsi="Tahoma" w:cs="Tahoma"/>
          <w:b/>
          <w:i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>породица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3"/>
      </w:r>
      <w:r>
        <w:rPr>
          <w:rFonts w:ascii="Tahoma" w:hAnsi="Tahoma" w:cs="Tahoma"/>
          <w:sz w:val="22"/>
          <w:szCs w:val="22"/>
          <w:lang w:val="sr-Cyrl-RS"/>
        </w:rPr>
        <w:t>. За децу без родитељског старања, децу са сметњама у развоју и децу корисника НСП, учешће од 20% се покрива са националног нивоа (Министарство за рад, запошљавање, социјална и борачка питања), а за децу из материјално угрожених породица према критеријумима ЈСЛ ову партиципацију плаћа сама ЈЛС. Са националног нивоа финансиран је и четворосатни ППП али само на нивоу зарада за васпитаче који пружају тај програм.</w:t>
      </w:r>
    </w:p>
    <w:p w14:paraId="4E770062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shd w:val="clear" w:color="auto" w:fill="FFFFFF"/>
          <w:lang w:val="sr-Cyrl-RS"/>
        </w:rPr>
        <w:t>За основно и средње образовање јединице ЈЛС обезбеђују средства за материјалне трошкове рада. Према о Правилнику о критеријумима и стандардима за финансирање установе која обавља делатност основног образовања и</w:t>
      </w:r>
      <w:r>
        <w:rPr>
          <w:rFonts w:ascii="Tahoma" w:hAnsi="Tahoma" w:cs="Tahoma"/>
          <w:b/>
          <w:i/>
          <w:sz w:val="22"/>
          <w:szCs w:val="22"/>
          <w:shd w:val="clear" w:color="auto" w:fill="FFFFFF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>васпитања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4"/>
      </w:r>
      <w:r>
        <w:rPr>
          <w:rFonts w:ascii="Tahoma" w:hAnsi="Tahoma" w:cs="Tahoma"/>
          <w:sz w:val="22"/>
          <w:szCs w:val="22"/>
          <w:lang w:val="sr-Cyrl-RS"/>
        </w:rPr>
        <w:t xml:space="preserve"> други текући расходи (материјални трошкови рада) укључују материјалне трошкове наставе у износу 2,5% бруто плата запослених, трошкове електричне енергије, трошкове воде, грејања, одржавања хигијене, изношења смећа. Према Правилнику о критеријумима и стандардима за финансирање установе која обавља делатност средњег образовања и васпитања, материјални трошкови укључују средства за материјалне трошкове наставе који се утврђују у висини од 5%, а за стручне школе које имају сопствене радионице за практичну наставу </w:t>
      </w:r>
      <w:r>
        <w:rPr>
          <w:rFonts w:ascii="Tahoma" w:hAnsi="Tahoma" w:cs="Tahoma"/>
          <w:sz w:val="22"/>
          <w:szCs w:val="22"/>
          <w:lang w:val="sr-Cyrl-RS"/>
        </w:rPr>
        <w:lastRenderedPageBreak/>
        <w:t>у износу од 7% у односу на средства за бруто плате запослених у школи (за неке струке и више, што је детаљно прописано Правилником) и трошкове режије.</w:t>
      </w:r>
    </w:p>
    <w:p w14:paraId="46569D85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ЈЛС такође обезбеђују функционисање Интерресорних комисија (ИРК) и остваривање додатне подршке детету и ученику у складу са мишљењем ИРК, осим оних за које се средства обезбеђују у буџету Републике Србије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5"/>
      </w:r>
      <w:r>
        <w:rPr>
          <w:rFonts w:ascii="Tahoma" w:hAnsi="Tahoma" w:cs="Tahoma"/>
          <w:sz w:val="22"/>
          <w:szCs w:val="22"/>
          <w:lang w:val="sr-Cyrl-RS"/>
        </w:rPr>
        <w:t>.</w:t>
      </w:r>
    </w:p>
    <w:p w14:paraId="03E5E311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ЈЛС могу и да учествују у обезбеђењу средстава за виши квалитет образовања кроз финансирање установа у циљу повећања квалитета у области предшколског, основног и средњег образовања и васпитања, што подразумева побољшање услова образовања и васпитања у погледу простора, опреме и наставних средстава, за остваривање програма који нису основна делатност установе, за исхрану и помоћ деци и</w:t>
      </w:r>
      <w:r>
        <w:rPr>
          <w:rFonts w:ascii="Tahoma" w:hAnsi="Tahoma" w:cs="Tahoma"/>
          <w:b/>
          <w:i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>ученицима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6"/>
      </w:r>
      <w:r>
        <w:rPr>
          <w:rFonts w:ascii="Tahoma" w:hAnsi="Tahoma" w:cs="Tahoma"/>
          <w:sz w:val="22"/>
          <w:szCs w:val="22"/>
          <w:lang w:val="sr-Cyrl-RS"/>
        </w:rPr>
        <w:t>.</w:t>
      </w:r>
    </w:p>
    <w:p w14:paraId="2544BE4C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ЈЛС има и друге врло важне надлежности везане за образовање које јединица ЛС индиректно финансира. На пример, јединица локалне самоуправе води евиденцију и обавештава школу и родитеље, односно старатеље о деци која су стасала за упис у ППП и у основну школу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7"/>
      </w:r>
      <w:r>
        <w:rPr>
          <w:rFonts w:ascii="Tahoma" w:hAnsi="Tahoma" w:cs="Tahoma"/>
          <w:sz w:val="22"/>
          <w:szCs w:val="22"/>
          <w:lang w:val="sr-Cyrl-RS"/>
        </w:rPr>
        <w:t xml:space="preserve">. </w:t>
      </w:r>
    </w:p>
    <w:p w14:paraId="59452926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Расходи за образовање у укупном буџету Крупња изнад просека општина у Србији</w:t>
      </w:r>
      <w:r>
        <w:rPr>
          <w:rFonts w:ascii="Tahoma" w:hAnsi="Tahoma" w:cs="Tahoma"/>
          <w:sz w:val="22"/>
          <w:szCs w:val="22"/>
          <w:lang w:val="sr-Cyrl-RS"/>
        </w:rPr>
        <w:t xml:space="preserve">. Један од разлога су расходи неквалификовани на другом месту али су значајно високи и расходи за основно образовање. Расходи за ПВО су у релативном износу у 2019. години били нижи од просека али су од 2020. године порасли. </w:t>
      </w:r>
    </w:p>
    <w:p w14:paraId="4D4871D8" w14:textId="77777777" w:rsidR="00C27AD1" w:rsidRDefault="00C27AD1">
      <w:pPr>
        <w:spacing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6F44398B" w14:textId="77777777" w:rsidR="00C27AD1" w:rsidRDefault="00C27AD1">
      <w:pPr>
        <w:spacing w:after="80" w:line="259" w:lineRule="auto"/>
        <w:jc w:val="both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>Taбелa 1. Расходи за образовање општине Крупањ, укупно и по нивоима образовања (% oд укупног буџета)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410"/>
        <w:gridCol w:w="1118"/>
        <w:gridCol w:w="990"/>
        <w:gridCol w:w="1170"/>
        <w:gridCol w:w="1350"/>
        <w:gridCol w:w="1709"/>
      </w:tblGrid>
      <w:tr w:rsidR="00C27AD1" w14:paraId="1A3673DE" w14:textId="77777777"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</w:tcPr>
          <w:p w14:paraId="27606DAD" w14:textId="77777777" w:rsidR="00C27AD1" w:rsidRDefault="00C27AD1">
            <w:pPr>
              <w:rPr>
                <w:rFonts w:ascii="Tahoma" w:hAnsi="Tahoma" w:cs="Tahoma"/>
                <w:b/>
                <w:bCs/>
                <w:color w:val="FFFFFF"/>
                <w:sz w:val="22"/>
                <w:szCs w:val="22"/>
                <w:lang w:val="sr-Cyrl-RS"/>
              </w:rPr>
            </w:pPr>
          </w:p>
        </w:tc>
        <w:tc>
          <w:tcPr>
            <w:tcW w:w="111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395C5A25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val="sr-Cyrl-RS"/>
              </w:rPr>
              <w:t>2019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26FAFE2E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val="sr-Cyrl-RS"/>
              </w:rPr>
              <w:t>2020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05F60228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val="sr-Cyrl-RS"/>
              </w:rPr>
              <w:t>2021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49BD6B08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  <w:lang w:val="sr-Cyrl-RS"/>
              </w:rPr>
              <w:t>Просек општине</w:t>
            </w:r>
          </w:p>
        </w:tc>
        <w:tc>
          <w:tcPr>
            <w:tcW w:w="170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02BFFC15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  <w:lang w:val="sr-Cyrl-RS"/>
              </w:rPr>
              <w:t>Просек Србије (без БГ и НС)</w:t>
            </w:r>
          </w:p>
        </w:tc>
      </w:tr>
      <w:tr w:rsidR="00C27AD1" w14:paraId="2E156583" w14:textId="77777777"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D9E2F3"/>
          </w:tcPr>
          <w:p w14:paraId="3607D502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0"/>
                <w:szCs w:val="20"/>
                <w:lang w:val="sr-Cyrl-RS"/>
              </w:rPr>
              <w:t>Предшколско (911)</w:t>
            </w:r>
          </w:p>
        </w:tc>
        <w:tc>
          <w:tcPr>
            <w:tcW w:w="11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65837189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8,79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7EA77D5E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11,00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7A816EDD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10,17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52870DE5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11,0</w:t>
            </w:r>
          </w:p>
        </w:tc>
        <w:tc>
          <w:tcPr>
            <w:tcW w:w="17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222CDC8A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11,2</w:t>
            </w:r>
          </w:p>
        </w:tc>
      </w:tr>
      <w:tr w:rsidR="00C27AD1" w14:paraId="072B29AD" w14:textId="77777777"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B4C6E7"/>
          </w:tcPr>
          <w:p w14:paraId="05E42218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0"/>
                <w:szCs w:val="20"/>
                <w:lang w:val="sr-Cyrl-RS"/>
              </w:rPr>
              <w:t>Основно (912)</w:t>
            </w:r>
          </w:p>
        </w:tc>
        <w:tc>
          <w:tcPr>
            <w:tcW w:w="11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1BFC9B7B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8,41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44E59054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6,98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35DECDC5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8,41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3F88BD95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6,3</w:t>
            </w:r>
          </w:p>
        </w:tc>
        <w:tc>
          <w:tcPr>
            <w:tcW w:w="17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7BDDCDC0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5,5</w:t>
            </w:r>
          </w:p>
        </w:tc>
      </w:tr>
      <w:tr w:rsidR="00C27AD1" w14:paraId="0C9A8D6B" w14:textId="77777777"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D9E2F3"/>
          </w:tcPr>
          <w:p w14:paraId="1DEA8D1E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0"/>
                <w:szCs w:val="20"/>
                <w:lang w:val="sr-Cyrl-RS"/>
              </w:rPr>
              <w:t>Средње (920)</w:t>
            </w:r>
          </w:p>
        </w:tc>
        <w:tc>
          <w:tcPr>
            <w:tcW w:w="11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4A348560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1,71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5BED86AB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1,44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4254434F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2,57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35A70AD6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1,8</w:t>
            </w:r>
          </w:p>
        </w:tc>
        <w:tc>
          <w:tcPr>
            <w:tcW w:w="17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6457851D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2,0</w:t>
            </w:r>
          </w:p>
        </w:tc>
      </w:tr>
      <w:tr w:rsidR="00C27AD1" w14:paraId="71F4B861" w14:textId="77777777"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B4C6E7"/>
          </w:tcPr>
          <w:p w14:paraId="202FFA38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0"/>
                <w:szCs w:val="20"/>
                <w:lang w:val="sr-Cyrl-RS"/>
              </w:rPr>
              <w:t>Неквалификовано на др. месту (931,980)</w:t>
            </w:r>
          </w:p>
        </w:tc>
        <w:tc>
          <w:tcPr>
            <w:tcW w:w="11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6B9F0098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1,28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4DE6C7A5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1,07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2985EBAB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1,23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11AEDA16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  <w:tc>
          <w:tcPr>
            <w:tcW w:w="17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7BF14519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</w:p>
        </w:tc>
      </w:tr>
      <w:tr w:rsidR="00C27AD1" w:rsidRPr="00367035" w14:paraId="5B42333C" w14:textId="77777777"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2F5496"/>
          </w:tcPr>
          <w:p w14:paraId="54525B72" w14:textId="77777777" w:rsidR="00C27AD1" w:rsidRPr="00367035" w:rsidRDefault="00C27AD1">
            <w:pPr>
              <w:rPr>
                <w:sz w:val="20"/>
                <w:szCs w:val="20"/>
              </w:rPr>
            </w:pPr>
            <w:r w:rsidRPr="00367035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val="sr-Cyrl-RS"/>
              </w:rPr>
              <w:t>Укупно образовање</w:t>
            </w:r>
          </w:p>
        </w:tc>
        <w:tc>
          <w:tcPr>
            <w:tcW w:w="11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768B0824" w14:textId="77777777" w:rsidR="00C27AD1" w:rsidRPr="00367035" w:rsidRDefault="00C27AD1">
            <w:pPr>
              <w:jc w:val="center"/>
              <w:rPr>
                <w:sz w:val="20"/>
                <w:szCs w:val="20"/>
              </w:rPr>
            </w:pPr>
            <w:r w:rsidRPr="00367035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val="sr-Cyrl-RS"/>
              </w:rPr>
              <w:t>20,18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4EC44437" w14:textId="77777777" w:rsidR="00C27AD1" w:rsidRPr="00367035" w:rsidRDefault="00C27AD1">
            <w:pPr>
              <w:jc w:val="center"/>
              <w:rPr>
                <w:sz w:val="20"/>
                <w:szCs w:val="20"/>
              </w:rPr>
            </w:pPr>
            <w:r w:rsidRPr="00367035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val="sr-Cyrl-RS"/>
              </w:rPr>
              <w:t>20,49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5A79C4A0" w14:textId="77777777" w:rsidR="00C27AD1" w:rsidRPr="00367035" w:rsidRDefault="00C27AD1">
            <w:pPr>
              <w:jc w:val="center"/>
              <w:rPr>
                <w:sz w:val="20"/>
                <w:szCs w:val="20"/>
              </w:rPr>
            </w:pPr>
            <w:r w:rsidRPr="00367035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val="sr-Cyrl-RS"/>
              </w:rPr>
              <w:t>22,37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</w:tcPr>
          <w:p w14:paraId="0C791561" w14:textId="77777777" w:rsidR="00C27AD1" w:rsidRPr="00367035" w:rsidRDefault="00C27AD1">
            <w:pPr>
              <w:jc w:val="center"/>
              <w:rPr>
                <w:sz w:val="20"/>
                <w:szCs w:val="20"/>
              </w:rPr>
            </w:pPr>
            <w:r w:rsidRPr="00367035">
              <w:rPr>
                <w:rFonts w:ascii="Tahoma" w:hAnsi="Tahoma" w:cs="Tahoma"/>
                <w:b/>
                <w:color w:val="FFFFFF"/>
                <w:sz w:val="20"/>
                <w:szCs w:val="20"/>
                <w:lang w:val="sr-Cyrl-RS"/>
              </w:rPr>
              <w:t>19,1</w:t>
            </w:r>
          </w:p>
        </w:tc>
        <w:tc>
          <w:tcPr>
            <w:tcW w:w="17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</w:tcPr>
          <w:p w14:paraId="1C35E941" w14:textId="77777777" w:rsidR="00C27AD1" w:rsidRPr="00367035" w:rsidRDefault="00C27AD1">
            <w:pPr>
              <w:jc w:val="center"/>
              <w:rPr>
                <w:sz w:val="20"/>
                <w:szCs w:val="20"/>
              </w:rPr>
            </w:pPr>
            <w:r w:rsidRPr="00367035">
              <w:rPr>
                <w:rFonts w:ascii="Tahoma" w:hAnsi="Tahoma" w:cs="Tahoma"/>
                <w:b/>
                <w:color w:val="FFFFFF"/>
                <w:sz w:val="20"/>
                <w:szCs w:val="20"/>
                <w:lang w:val="sr-Cyrl-RS"/>
              </w:rPr>
              <w:t>18,7</w:t>
            </w:r>
          </w:p>
        </w:tc>
      </w:tr>
    </w:tbl>
    <w:p w14:paraId="15B46FB9" w14:textId="77777777" w:rsidR="00C27AD1" w:rsidRDefault="00C27AD1">
      <w:pPr>
        <w:spacing w:line="259" w:lineRule="auto"/>
      </w:pPr>
      <w:r>
        <w:rPr>
          <w:rFonts w:ascii="Tahoma" w:hAnsi="Tahoma" w:cs="Tahoma"/>
          <w:sz w:val="18"/>
          <w:szCs w:val="18"/>
          <w:lang w:val="sr-Cyrl-RS"/>
        </w:rPr>
        <w:t>Извор: Стална конференција градова и општина</w:t>
      </w:r>
    </w:p>
    <w:p w14:paraId="462EC766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0BA480EE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40F2DB04" w14:textId="77777777" w:rsidR="00C27AD1" w:rsidRDefault="00C27AD1">
      <w:pPr>
        <w:pStyle w:val="Heading1"/>
        <w:spacing w:after="240"/>
      </w:pPr>
      <w:r>
        <w:rPr>
          <w:rFonts w:ascii="Tahoma" w:hAnsi="Tahoma" w:cs="Tahoma"/>
          <w:b/>
          <w:bCs/>
          <w:sz w:val="28"/>
          <w:szCs w:val="28"/>
          <w:lang w:val="sr-Cyrl-RS"/>
        </w:rPr>
        <w:lastRenderedPageBreak/>
        <w:t>Стратешка оријентација и исходи у образовању</w:t>
      </w:r>
    </w:p>
    <w:p w14:paraId="3FC8F6E7" w14:textId="77777777" w:rsidR="00C27AD1" w:rsidRDefault="00C27AD1">
      <w:pPr>
        <w:pStyle w:val="Heading2"/>
        <w:spacing w:before="160" w:after="160" w:line="259" w:lineRule="auto"/>
      </w:pPr>
      <w:r>
        <w:rPr>
          <w:rFonts w:ascii="Tahoma" w:hAnsi="Tahoma" w:cs="Tahoma"/>
          <w:b/>
          <w:bCs/>
          <w:sz w:val="24"/>
          <w:szCs w:val="24"/>
          <w:lang w:val="sr-Cyrl-RS"/>
        </w:rPr>
        <w:t>Предшколско образовање</w:t>
      </w:r>
    </w:p>
    <w:p w14:paraId="1BB4DC94" w14:textId="77777777" w:rsidR="00C27AD1" w:rsidRDefault="00C27AD1">
      <w:pPr>
        <w:shd w:val="clear" w:color="auto" w:fill="D9E2F3"/>
        <w:spacing w:after="160" w:line="259" w:lineRule="auto"/>
      </w:pPr>
      <w:r>
        <w:rPr>
          <w:rFonts w:ascii="Tahoma" w:hAnsi="Tahoma" w:cs="Tahoma"/>
          <w:b/>
          <w:bCs/>
          <w:color w:val="1F3864"/>
          <w:sz w:val="22"/>
          <w:szCs w:val="22"/>
          <w:lang w:val="sr-Cyrl-RS"/>
        </w:rPr>
        <w:t>Оквир 1. Важност предшколског образовања и васпитања (ПВО)</w:t>
      </w:r>
    </w:p>
    <w:p w14:paraId="047ED962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Поред традиционалне и препознатљиве улоге „чување” деце, последњих година се све више указује на веома важну улогу предшколског образовање и васпитања која подстиче рани развој и образовање деце. Међутим, Стратегија развоја образовања и васпитања до 2030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8"/>
      </w:r>
      <w:r>
        <w:rPr>
          <w:rFonts w:ascii="Tahoma" w:hAnsi="Tahoma" w:cs="Tahoma"/>
          <w:sz w:val="22"/>
          <w:szCs w:val="22"/>
          <w:lang w:val="sr-Cyrl-RS"/>
        </w:rPr>
        <w:t xml:space="preserve"> констатује да је свест грађана о васпитној и образовној улози ПВО недовољно развијена, јер се ПВО још увек у већој мери посматра као „систем за чување деце“ предшколског узраста него као део васпитно-образовног система РС.</w:t>
      </w:r>
    </w:p>
    <w:p w14:paraId="1166403F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 xml:space="preserve">У претходној деценији дошло је до значајног повећања обухвата ПВО – за јаслени узраст са само 13% у 2010. години на преко 34% у 2021., за узраст 3 године до поласка у ППП са само 47% у 2010. години на oко 66% у 2021. години, а обухват ППП порастао је са 87% у 2010. години порастао је на преко 97% у 2021. Средњорочни план МПНТР предвиђа врло благо повећање до 2024. </w:t>
      </w:r>
      <w:r>
        <w:rPr>
          <w:rFonts w:ascii="Tahoma" w:hAnsi="Tahoma" w:cs="Tahoma"/>
          <w:b/>
          <w:color w:val="1F3864"/>
          <w:sz w:val="22"/>
          <w:szCs w:val="22"/>
          <w:lang w:val="sr-Cyrl-RS"/>
        </w:rPr>
        <w:t>И поред тога обухват ПВО у Србији је још увек далеко од  ЕУ просека где је за узраст 4+ у 2018. години износио чак 94,8%</w:t>
      </w:r>
      <w:r>
        <w:rPr>
          <w:rFonts w:ascii="Tahoma" w:hAnsi="Tahoma" w:cs="Tahoma"/>
          <w:sz w:val="22"/>
          <w:szCs w:val="22"/>
          <w:lang w:val="sr-Cyrl-RS"/>
        </w:rPr>
        <w:t xml:space="preserve"> што је веома близу постављеног циља у ЕУ 2020. од 95%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9"/>
      </w:r>
      <w:r>
        <w:rPr>
          <w:rFonts w:ascii="Tahoma" w:hAnsi="Tahoma" w:cs="Tahoma"/>
          <w:sz w:val="22"/>
          <w:szCs w:val="22"/>
          <w:lang w:val="sr-Cyrl-RS"/>
        </w:rPr>
        <w:t xml:space="preserve">. </w:t>
      </w:r>
    </w:p>
    <w:p w14:paraId="1ABB7AD8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Стратешко опредељење Србије је повећање обухвата деце ПВО. Стратегијом образовања до 2020. године било је предвиђено да обухват деце узраста од 0,5 – 3 година износи 30%; да се за сву децу узраста од 4 – 5,5 година обезбеде бесплатни скраћени (полудневни) програм у току једне школске године што значи потпун обухват деце тог узраста; и потпуни обухват деце узраста од 5,5 – 6,5 година укључених у припремни предшколски програм. Такође, предвиђен је знатно правичнији систем који ће омогућити значајно већи обухват све деце и посебно деце из маргинализованих група која остварују право приоритета при упису. Сем циљаног обухвата деце јасленог узраста, остали циљеви нису постигнути.</w:t>
      </w:r>
    </w:p>
    <w:p w14:paraId="25646EA9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 xml:space="preserve">Стратегија 2030. констатује да је ”у 2019/20. години 6.902 деце је остало неуписано због попуњености капацитета, упркос значајном повећању капацитета предшколских установа (ПУ) и повећаног броја објеката. У контексту праведности </w:t>
      </w:r>
      <w:r>
        <w:rPr>
          <w:rFonts w:ascii="Tahoma" w:hAnsi="Tahoma" w:cs="Tahoma"/>
          <w:i/>
          <w:sz w:val="22"/>
          <w:szCs w:val="22"/>
          <w:lang w:val="sr-Cyrl-RS"/>
        </w:rPr>
        <w:t>и даље су приметне две негативне појаве: разлике између јединица локалне самоуправе (ЈЛС) у погледу обухвата деце уопште и обухвата деце из ромских насеља у Републици Србији која су у најмањој мери укључена у ПВО</w:t>
      </w:r>
      <w:r>
        <w:rPr>
          <w:rFonts w:ascii="Tahoma" w:hAnsi="Tahoma" w:cs="Tahoma"/>
          <w:sz w:val="22"/>
          <w:szCs w:val="22"/>
          <w:lang w:val="sr-Cyrl-RS"/>
        </w:rPr>
        <w:t>”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10"/>
      </w:r>
      <w:r>
        <w:rPr>
          <w:rFonts w:ascii="Tahoma" w:hAnsi="Tahoma" w:cs="Tahoma"/>
          <w:sz w:val="22"/>
          <w:szCs w:val="22"/>
          <w:lang w:val="sr-Cyrl-RS"/>
        </w:rPr>
        <w:t>. Такође, Стратегија констатује да ”развој диверсификованих програма ПВО још увек није задовољавајући – ЈЛС још увек нису преузеле одговорност за развој кратких висококвалитетних диверсификованих програма, често због недостатка финансијских средстава али и због неразумевања важности ових програма за повећање обухвата и праведности ПВО”.</w:t>
      </w:r>
    </w:p>
    <w:p w14:paraId="18F61A18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lastRenderedPageBreak/>
        <w:t>Стратегије развоја образовања и васпитања у Републици Србији до 2030. године планира обухват деце јасленог узраста од 38%, обухват деце од 3 до 5,5 (до поласка у ППП) од 75% и обухват ППП-ом од 98%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11"/>
      </w:r>
      <w:r>
        <w:rPr>
          <w:rFonts w:ascii="Tahoma" w:hAnsi="Tahoma" w:cs="Tahoma"/>
          <w:sz w:val="22"/>
          <w:szCs w:val="22"/>
          <w:lang w:val="sr-Cyrl-RS"/>
        </w:rPr>
        <w:t xml:space="preserve">. </w:t>
      </w:r>
      <w:r>
        <w:rPr>
          <w:rFonts w:ascii="Tahoma" w:hAnsi="Tahoma" w:cs="Tahoma"/>
          <w:b/>
          <w:color w:val="1F3864"/>
          <w:sz w:val="22"/>
          <w:szCs w:val="22"/>
          <w:lang w:val="sr-Cyrl-RS"/>
        </w:rPr>
        <w:t>Дакле, повећање обухвата ПВО остаје стратешки приоритет.</w:t>
      </w:r>
    </w:p>
    <w:p w14:paraId="3453D63F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Пракса показује да обавезност програма као и финансирање зарада са националног нивоа доводи до скоро потпуног обухвата, што је и био случај са припремним предшколским програмом – ППП. Ипак, имајући у виду доказане користи од предшколског образовања и васпитања, повећање обухвата би требало да буде стратешки правац и циљ сваке општине.</w:t>
      </w:r>
    </w:p>
    <w:p w14:paraId="0F4F0C53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 xml:space="preserve">Потпун обухват не значи нужно да сва деца похађају искључиво целодневне програме </w:t>
      </w:r>
      <w:r>
        <w:rPr>
          <w:rFonts w:ascii="Tahoma" w:hAnsi="Tahoma" w:cs="Tahoma"/>
          <w:b/>
          <w:color w:val="1F3864"/>
          <w:sz w:val="22"/>
          <w:szCs w:val="22"/>
          <w:lang w:val="sr-Cyrl-RS"/>
        </w:rPr>
        <w:t xml:space="preserve">већ је потребно изградити флексибилан систем који поред целодневних програма нуди и полудневне програме као и специјализоване програме предшколског образовања. </w:t>
      </w:r>
    </w:p>
    <w:p w14:paraId="66989308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 xml:space="preserve">У том смислу, формулација «недовољни капацитети ПВО» у овом документу не значи нужно да је потребно изградити нови вртић, поготово имајући у виду негативне демографске трендове већине општина у Србији, већ је потребно да се ради на осмишљавању програма који би користили постојеће инфраструктурне капацитете (нпр. користити вишак капацитета у школама, организовати мобилне вртиће по узору на УНИЦЕФ пилот пројекте и слично). </w:t>
      </w:r>
    </w:p>
    <w:p w14:paraId="064D93AB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Такође, у Студији УНИЦЕФ-а из 2012. године се наводи да и родитеље треба боље упознати са предностима предшколског образовања. “Осим недостатка физичких капацитета и трошкова који проистичу из похађања предшколског образовања, што представља препреке у достизању већег обухвата, више од половине родитеља не препознаје значај предшколског образовања за развој своје деце”.</w:t>
      </w:r>
    </w:p>
    <w:p w14:paraId="6926C0F7" w14:textId="77777777" w:rsidR="00C27AD1" w:rsidRDefault="00C27AD1">
      <w:pPr>
        <w:spacing w:line="259" w:lineRule="auto"/>
        <w:jc w:val="both"/>
        <w:rPr>
          <w:rFonts w:ascii="Tahoma" w:hAnsi="Tahoma" w:cs="Tahoma"/>
          <w:b/>
          <w:color w:val="2F5496"/>
          <w:sz w:val="10"/>
          <w:szCs w:val="10"/>
          <w:lang w:val="sr-Cyrl-RS"/>
        </w:rPr>
      </w:pPr>
    </w:p>
    <w:p w14:paraId="0EC5A644" w14:textId="77777777" w:rsidR="00C27AD1" w:rsidRDefault="00C27AD1">
      <w:pPr>
        <w:spacing w:line="259" w:lineRule="auto"/>
        <w:jc w:val="both"/>
        <w:rPr>
          <w:rFonts w:ascii="Tahoma" w:hAnsi="Tahoma" w:cs="Tahoma"/>
          <w:b/>
          <w:color w:val="2F5496"/>
          <w:sz w:val="10"/>
          <w:szCs w:val="10"/>
          <w:lang w:val="sr-Cyrl-RS"/>
        </w:rPr>
      </w:pPr>
    </w:p>
    <w:p w14:paraId="4F882CB5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Обухват деце предшколским образовањем и васпитањем у Крупњу се постепено повећава.</w:t>
      </w:r>
      <w:r>
        <w:rPr>
          <w:rFonts w:ascii="Tahoma" w:hAnsi="Tahoma" w:cs="Tahoma"/>
          <w:color w:val="2F5496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>Иако је методолошки проблематично посматрања стопе обухвата на нивоу локалних самоуправа (види Оквир 2), што се и у Крупњу види по великим флуктуацијама података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12"/>
      </w:r>
      <w:r>
        <w:rPr>
          <w:rFonts w:ascii="Tahoma" w:hAnsi="Tahoma" w:cs="Tahoma"/>
          <w:sz w:val="22"/>
          <w:szCs w:val="22"/>
          <w:lang w:val="sr-Cyrl-RS"/>
        </w:rPr>
        <w:t xml:space="preserve">, ипак се може приметити позитиван тренд, посебно од 2019. године. </w:t>
      </w:r>
    </w:p>
    <w:p w14:paraId="362809D3" w14:textId="77777777" w:rsidR="00091810" w:rsidRDefault="00091810">
      <w:pPr>
        <w:spacing w:after="160" w:line="259" w:lineRule="auto"/>
        <w:jc w:val="both"/>
      </w:pPr>
    </w:p>
    <w:p w14:paraId="390DB6F9" w14:textId="77777777" w:rsidR="00091810" w:rsidRDefault="00091810">
      <w:pPr>
        <w:spacing w:after="160" w:line="259" w:lineRule="auto"/>
        <w:jc w:val="both"/>
      </w:pPr>
    </w:p>
    <w:p w14:paraId="5E3147B2" w14:textId="77777777" w:rsidR="00091810" w:rsidRDefault="00091810">
      <w:pPr>
        <w:spacing w:after="160" w:line="259" w:lineRule="auto"/>
        <w:jc w:val="both"/>
      </w:pPr>
    </w:p>
    <w:p w14:paraId="23985E51" w14:textId="77777777" w:rsidR="00091810" w:rsidRDefault="00091810">
      <w:pPr>
        <w:spacing w:after="160" w:line="259" w:lineRule="auto"/>
        <w:jc w:val="both"/>
      </w:pPr>
    </w:p>
    <w:p w14:paraId="27671D6C" w14:textId="77777777" w:rsidR="00091810" w:rsidRDefault="00091810">
      <w:pPr>
        <w:spacing w:after="160" w:line="259" w:lineRule="auto"/>
        <w:jc w:val="both"/>
      </w:pPr>
    </w:p>
    <w:p w14:paraId="39E08377" w14:textId="77777777" w:rsidR="00C27AD1" w:rsidRDefault="00C27AD1">
      <w:pPr>
        <w:spacing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75202DCA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lastRenderedPageBreak/>
        <w:t xml:space="preserve">Графикон 1. Tренд обухвата деце ПВO (у %), за период 2010-2020. </w:t>
      </w:r>
    </w:p>
    <w:p w14:paraId="6E899C1C" w14:textId="77777777" w:rsidR="00C27AD1" w:rsidRDefault="00665D6D">
      <w:pPr>
        <w:spacing w:after="160" w:line="259" w:lineRule="auto"/>
        <w:jc w:val="center"/>
        <w:rPr>
          <w:rFonts w:ascii="Tahoma" w:hAnsi="Tahoma" w:cs="Tahoma"/>
          <w:sz w:val="18"/>
          <w:szCs w:val="18"/>
          <w:lang w:val="sr-Cyrl-RS"/>
        </w:rPr>
      </w:pPr>
      <w:r>
        <w:rPr>
          <w:noProof/>
        </w:rPr>
        <w:pict w14:anchorId="06CC72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" style="width:385.3pt;height:224.7pt;mso-width-percent:0;mso-height-percent:0;mso-width-percent:0;mso-height-percent:0" filled="t">
            <v:fill color2="black"/>
            <v:imagedata r:id="rId8" o:title=""/>
          </v:shape>
        </w:pict>
      </w:r>
    </w:p>
    <w:p w14:paraId="3036D695" w14:textId="77777777" w:rsidR="00C27AD1" w:rsidRDefault="00C27AD1">
      <w:pPr>
        <w:jc w:val="both"/>
      </w:pPr>
      <w:r>
        <w:rPr>
          <w:rFonts w:ascii="Tahoma" w:hAnsi="Tahoma" w:cs="Tahoma"/>
          <w:sz w:val="18"/>
          <w:szCs w:val="18"/>
          <w:lang w:val="sr-Cyrl-RS"/>
        </w:rPr>
        <w:t>Извор: Републички завод за статистику, ДевИнфо база</w:t>
      </w:r>
      <w:r>
        <w:rPr>
          <w:rFonts w:ascii="Tahoma" w:eastAsia="Open Sans" w:hAnsi="Tahoma" w:cs="Tahoma"/>
          <w:sz w:val="18"/>
          <w:szCs w:val="18"/>
          <w:lang w:val="sr-Cyrl-RS"/>
        </w:rPr>
        <w:t xml:space="preserve"> (линк </w:t>
      </w:r>
      <w:hyperlink r:id="rId9" w:history="1">
        <w:r>
          <w:rPr>
            <w:rStyle w:val="Hyperlink"/>
            <w:rFonts w:ascii="Tahoma" w:eastAsia="Open Sans" w:hAnsi="Tahoma" w:cs="Tahoma"/>
            <w:sz w:val="18"/>
            <w:szCs w:val="18"/>
            <w:lang w:val="sr-Cyrl-RS"/>
          </w:rPr>
          <w:t>&gt;&gt;</w:t>
        </w:r>
      </w:hyperlink>
      <w:r>
        <w:rPr>
          <w:rFonts w:ascii="Tahoma" w:eastAsia="Open Sans" w:hAnsi="Tahoma" w:cs="Tahoma"/>
          <w:sz w:val="18"/>
          <w:szCs w:val="18"/>
          <w:lang w:val="sr-Cyrl-RS"/>
        </w:rPr>
        <w:t>).</w:t>
      </w:r>
    </w:p>
    <w:p w14:paraId="42D2E812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301DE17E" w14:textId="77777777" w:rsidR="00C27AD1" w:rsidRDefault="00C27AD1">
      <w:pPr>
        <w:pStyle w:val="FootnoteText"/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b/>
          <w:bCs/>
          <w:color w:val="1F3864"/>
          <w:sz w:val="22"/>
          <w:szCs w:val="22"/>
          <w:lang w:val="sr-Cyrl-RS"/>
        </w:rPr>
        <w:t xml:space="preserve">Оквир 2. Методолошки недостаци праћења обухвата на нивоу локалних самоуправа </w:t>
      </w:r>
    </w:p>
    <w:p w14:paraId="05606848" w14:textId="77777777" w:rsidR="00C27AD1" w:rsidRDefault="00C27AD1">
      <w:pPr>
        <w:pStyle w:val="FootnoteText"/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Податке о обухвату на локалном нивоу треба узети са резервом, на шта и указује обухват који је виши од 100% али и нижи од реалности из методолошких разлога. Разлози могу бити следећи: а) када се посматра обухват број деце у ППП се узима у целини без обзира на узраст (сто значи да се ту могу наћи и деца која кренула раније/касније у ППП у односу законски одређену генерацију; б) школска генерација се одређује од 1. марта а у демографским подацима од 1. јануара, па је питање да ли статистика ради ту врсту усаглашавања; ц) када се подаци посматрају на локалном нивоу проблем могу да настану услед миграција и неажурираних података становништва, затим када су општина близу једна другој могуће је да деца живе у једној општини а похађају програм у другој. И на крају увек код показатеља са малим апсолутним вредностима, што може бити случај код општина, релативне вредности могу да покажу велике промене које су у апсолутном износу заправо мале.</w:t>
      </w:r>
    </w:p>
    <w:p w14:paraId="5E8D4CE6" w14:textId="77777777" w:rsidR="00C27AD1" w:rsidRDefault="00C27AD1">
      <w:pPr>
        <w:pStyle w:val="FootnoteText"/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Слично, и подаци на пример о одустајању од школовања (види Оквир 5. за индикаторе основног и средњег образовања) могу да буду последица миграција а не заиста одустајања од школовања деце. Ови подаци чак ин а националном нивоу могу да буду узроковани миграцијама, али на локалном нивоу то је још израженије.</w:t>
      </w:r>
    </w:p>
    <w:p w14:paraId="6DCBFCFA" w14:textId="77777777" w:rsidR="00C27AD1" w:rsidRDefault="00C27AD1">
      <w:pPr>
        <w:pStyle w:val="FootnoteText"/>
        <w:shd w:val="clear" w:color="auto" w:fill="D9E2F3"/>
        <w:spacing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45B4F277" w14:textId="77777777" w:rsidR="00C27AD1" w:rsidRDefault="00C27AD1">
      <w:pPr>
        <w:spacing w:line="259" w:lineRule="auto"/>
        <w:jc w:val="both"/>
        <w:rPr>
          <w:rFonts w:ascii="Tahoma" w:hAnsi="Tahoma" w:cs="Tahoma"/>
          <w:bCs/>
          <w:iCs/>
          <w:sz w:val="10"/>
          <w:szCs w:val="10"/>
          <w:lang w:val="sr-Cyrl-RS"/>
        </w:rPr>
      </w:pPr>
    </w:p>
    <w:p w14:paraId="49C68B95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60E5B07D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lastRenderedPageBreak/>
        <w:t>Обухват деце вртићког узраста је сада релативно висок док је обухват деце јасленог узраста јако низак.</w:t>
      </w:r>
      <w:r>
        <w:rPr>
          <w:rFonts w:ascii="Tahoma" w:hAnsi="Tahoma" w:cs="Tahoma"/>
          <w:sz w:val="22"/>
          <w:szCs w:val="22"/>
          <w:lang w:val="sr-Cyrl-RS"/>
        </w:rPr>
        <w:t xml:space="preserve"> Поређење трогодишњег просека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13"/>
      </w:r>
      <w:r>
        <w:rPr>
          <w:rFonts w:ascii="Tahoma" w:hAnsi="Tahoma" w:cs="Tahoma"/>
          <w:sz w:val="22"/>
          <w:szCs w:val="22"/>
          <w:lang w:val="sr-Cyrl-RS"/>
        </w:rPr>
        <w:t xml:space="preserve"> показује да је обухват деце јасленог узраста низак не само у поређењу са подручјем Србија-Југ већ и Мачванском области у којој је обухват такође врло мали. Обухват деце вртићког узраста је на нивоу обухвата у подручју Србија-Југ и значајно је виша од обухвата у Мачванској области, али је и даље много нижа од циљева за 2030. годину од 75%. Са друге стране обухват ППП-ом показује екстремно високе вредности од преко 100%, вероватно из методолошких разлога који укључују и појаву да деца из суседних општина похађају ППП у Крупњу. </w:t>
      </w:r>
    </w:p>
    <w:p w14:paraId="66B091AF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 xml:space="preserve">Графикон 2. Обухват деце ПВО (у %), пресек за период 2018-2020. </w:t>
      </w:r>
    </w:p>
    <w:p w14:paraId="1ED1E475" w14:textId="6EBBB8B4" w:rsidR="00C27AD1" w:rsidRDefault="008C1718">
      <w:pPr>
        <w:jc w:val="center"/>
        <w:rPr>
          <w:rFonts w:ascii="Tahoma" w:hAnsi="Tahoma" w:cs="Tahoma"/>
          <w:sz w:val="18"/>
          <w:szCs w:val="18"/>
          <w:lang w:val="sr-Cyrl-RS"/>
        </w:rPr>
      </w:pPr>
      <w:r>
        <w:rPr>
          <w:noProof/>
        </w:rPr>
        <w:drawing>
          <wp:inline distT="0" distB="0" distL="0" distR="0" wp14:anchorId="32A9B665" wp14:editId="5ED09F8E">
            <wp:extent cx="5943600" cy="2889885"/>
            <wp:effectExtent l="0" t="0" r="0" b="571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BE8B43BF-0D4A-EC4E-9079-4AAAC8F1DAD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53615F9" w14:textId="77777777" w:rsidR="00C27AD1" w:rsidRDefault="00C27AD1">
      <w:pPr>
        <w:spacing w:before="60"/>
      </w:pPr>
      <w:r>
        <w:rPr>
          <w:rFonts w:ascii="Tahoma" w:hAnsi="Tahoma" w:cs="Tahoma"/>
          <w:sz w:val="18"/>
          <w:szCs w:val="18"/>
          <w:lang w:val="sr-Cyrl-RS"/>
        </w:rPr>
        <w:t>Извор:Трогодишњи просек калкулација аутора на бази података Републичког завода за статистику, ДевИнфо база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36F5D783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10597F5B" w14:textId="77777777" w:rsidR="00C27AD1" w:rsidRDefault="00C27AD1">
      <w:pPr>
        <w:shd w:val="clear" w:color="auto" w:fill="D9E2F3"/>
        <w:spacing w:after="160" w:line="259" w:lineRule="auto"/>
        <w:jc w:val="both"/>
        <w:textAlignment w:val="center"/>
      </w:pP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Оквир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3. УН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циљеви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одрживог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развоја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–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Циљ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4.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Обезбедити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инклузивно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квалитетно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образовање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промовисати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могућност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целоживотног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bCs/>
          <w:color w:val="1F3864"/>
          <w:sz w:val="22"/>
          <w:szCs w:val="22"/>
        </w:rPr>
        <w:t>учења</w:t>
      </w:r>
      <w:proofErr w:type="spellEnd"/>
      <w:r>
        <w:rPr>
          <w:rFonts w:ascii="Tahoma" w:hAnsi="Tahoma" w:cs="Tahoma"/>
          <w:b/>
          <w:bCs/>
          <w:color w:val="1F3864"/>
          <w:sz w:val="22"/>
          <w:szCs w:val="22"/>
        </w:rPr>
        <w:t xml:space="preserve"> </w:t>
      </w:r>
    </w:p>
    <w:p w14:paraId="54777377" w14:textId="77777777" w:rsidR="00C27AD1" w:rsidRDefault="00C27AD1">
      <w:pPr>
        <w:shd w:val="clear" w:color="auto" w:fill="D9E2F3"/>
        <w:spacing w:after="160" w:line="259" w:lineRule="auto"/>
        <w:jc w:val="both"/>
        <w:textAlignment w:val="center"/>
      </w:pPr>
      <w:r>
        <w:rPr>
          <w:rFonts w:ascii="Tahoma" w:hAnsi="Tahoma" w:cs="Tahoma"/>
          <w:color w:val="000000"/>
          <w:sz w:val="22"/>
          <w:szCs w:val="22"/>
        </w:rPr>
        <w:t xml:space="preserve">У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контексту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УН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циљева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одрживог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раста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потциљ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4.2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До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краја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2030.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обезбедити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да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све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девојчице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дечаци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имају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приступ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квалитетном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развоју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раном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детињству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бризи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предшколском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образовању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како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би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се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припремили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за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основно</w:t>
      </w:r>
      <w:proofErr w:type="spellEnd"/>
      <w:r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iCs/>
          <w:color w:val="000000"/>
          <w:sz w:val="22"/>
          <w:szCs w:val="22"/>
        </w:rPr>
        <w:t>образовање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посебно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важан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ниво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локалних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самоуправа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</w:t>
      </w:r>
    </w:p>
    <w:p w14:paraId="059578EC" w14:textId="77777777" w:rsidR="00C27AD1" w:rsidRDefault="00C27AD1">
      <w:pPr>
        <w:shd w:val="clear" w:color="auto" w:fill="D9E2F3"/>
        <w:spacing w:after="160" w:line="259" w:lineRule="auto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Национални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циљеви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дефинисани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Стратегијом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образовања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20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30</w:t>
      </w:r>
      <w:r>
        <w:rPr>
          <w:rFonts w:ascii="Tahoma" w:hAnsi="Tahoma" w:cs="Tahoma"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повећање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обухвата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доступности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ПВО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на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3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8</w:t>
      </w:r>
      <w:r>
        <w:rPr>
          <w:rFonts w:ascii="Tahoma" w:hAnsi="Tahoma" w:cs="Tahoma"/>
          <w:color w:val="000000"/>
          <w:sz w:val="22"/>
          <w:szCs w:val="22"/>
        </w:rPr>
        <w:t xml:space="preserve">%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јаслени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узраст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75</w:t>
      </w:r>
      <w:r>
        <w:rPr>
          <w:rFonts w:ascii="Tahoma" w:hAnsi="Tahoma" w:cs="Tahoma"/>
          <w:color w:val="000000"/>
          <w:sz w:val="22"/>
          <w:szCs w:val="22"/>
        </w:rPr>
        <w:t xml:space="preserve">%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узраст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од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3-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5,5 (полазак у ППП) и обухват 98% ППП-ом</w:t>
      </w:r>
      <w:r>
        <w:rPr>
          <w:rFonts w:ascii="Tahoma" w:hAnsi="Tahoma" w:cs="Tahoma"/>
          <w:color w:val="000000"/>
          <w:sz w:val="22"/>
          <w:szCs w:val="22"/>
        </w:rPr>
        <w:t xml:space="preserve">. 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поред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стабилног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раста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color w:val="000000"/>
          <w:sz w:val="22"/>
          <w:szCs w:val="22"/>
          <w:lang w:val="sr-Cyrl-RS"/>
        </w:rPr>
        <w:t>oбухват</w:t>
      </w:r>
      <w:proofErr w:type="spellEnd"/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деце ПВО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даље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испод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просека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ЕУ 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постављених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националних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циљева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а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посебан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проблем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повећање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обухвата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на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уштраб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квалитета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</w:t>
      </w:r>
    </w:p>
    <w:p w14:paraId="524C9D4C" w14:textId="77777777" w:rsidR="00C27AD1" w:rsidRDefault="00C27AD1">
      <w:pPr>
        <w:shd w:val="clear" w:color="auto" w:fill="D9E2F3"/>
        <w:spacing w:after="160" w:line="259" w:lineRule="auto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</w:rPr>
        <w:lastRenderedPageBreak/>
        <w:t>Поред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већ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дефинисаног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индикатора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4.2.2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Стопа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учешћа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организованом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учењу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(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годину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дана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званичног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узраста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упис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основну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школу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),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што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заправо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обухват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ППП-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(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припремним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предшколским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програмом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),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треба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посматрати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индикаторе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обухвата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деце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током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читавог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ПВО,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од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јасленог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узраста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ППП. </w:t>
      </w:r>
    </w:p>
    <w:p w14:paraId="603B42DA" w14:textId="77777777" w:rsidR="00C27AD1" w:rsidRDefault="00C27AD1">
      <w:pPr>
        <w:shd w:val="clear" w:color="auto" w:fill="D9E2F3"/>
        <w:spacing w:after="160" w:line="259" w:lineRule="auto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  <w:u w:val="single"/>
        </w:rPr>
        <w:t>Локални</w:t>
      </w:r>
      <w:proofErr w:type="spellEnd"/>
      <w:r>
        <w:rPr>
          <w:rFonts w:ascii="Tahoma" w:hAnsi="Tahoma" w:cs="Tahoma"/>
          <w:color w:val="000000"/>
          <w:sz w:val="22"/>
          <w:szCs w:val="22"/>
          <w:u w:val="single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  <w:u w:val="single"/>
        </w:rPr>
        <w:t>циљеви</w:t>
      </w:r>
      <w:proofErr w:type="spellEnd"/>
      <w:r>
        <w:rPr>
          <w:rFonts w:ascii="Tahoma" w:hAnsi="Tahoma" w:cs="Tahoma"/>
          <w:color w:val="000000"/>
          <w:sz w:val="22"/>
          <w:szCs w:val="22"/>
          <w:u w:val="single"/>
        </w:rPr>
        <w:t>:</w:t>
      </w:r>
    </w:p>
    <w:p w14:paraId="5C8081A8" w14:textId="77777777" w:rsidR="00C27AD1" w:rsidRDefault="00C27AD1">
      <w:pPr>
        <w:pStyle w:val="ListParagraph"/>
        <w:numPr>
          <w:ilvl w:val="0"/>
          <w:numId w:val="1"/>
        </w:numPr>
        <w:shd w:val="clear" w:color="auto" w:fill="D9E2F3"/>
        <w:spacing w:after="80" w:line="259" w:lineRule="auto"/>
        <w:ind w:left="357" w:hanging="357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Повећање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обухвата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деце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јасленог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узраста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на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преко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 xml:space="preserve"> 30%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до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 xml:space="preserve"> 2030.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године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>;</w:t>
      </w:r>
    </w:p>
    <w:p w14:paraId="48FAE96A" w14:textId="77777777" w:rsidR="00C27AD1" w:rsidRDefault="00C27AD1">
      <w:pPr>
        <w:pStyle w:val="ListParagraph"/>
        <w:numPr>
          <w:ilvl w:val="0"/>
          <w:numId w:val="1"/>
        </w:numPr>
        <w:shd w:val="clear" w:color="auto" w:fill="D9E2F3"/>
        <w:spacing w:after="80" w:line="259" w:lineRule="auto"/>
        <w:ind w:left="357" w:hanging="357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Повећање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обухвата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деце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вртићког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узраста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на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 xml:space="preserve"> </w:t>
      </w: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 xml:space="preserve">преко 70 </w:t>
      </w:r>
      <w:r>
        <w:rPr>
          <w:rFonts w:ascii="Tahoma" w:hAnsi="Tahoma" w:cs="Tahoma"/>
          <w:b/>
          <w:color w:val="2F5496"/>
          <w:sz w:val="22"/>
          <w:szCs w:val="22"/>
        </w:rPr>
        <w:t xml:space="preserve">%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до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 xml:space="preserve"> 2030.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године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>;</w:t>
      </w:r>
    </w:p>
    <w:p w14:paraId="5CD96A1D" w14:textId="77777777" w:rsidR="00C27AD1" w:rsidRDefault="00C27AD1">
      <w:pPr>
        <w:pStyle w:val="ListParagraph"/>
        <w:numPr>
          <w:ilvl w:val="0"/>
          <w:numId w:val="1"/>
        </w:numPr>
        <w:shd w:val="clear" w:color="auto" w:fill="D9E2F3"/>
        <w:spacing w:after="80" w:line="259" w:lineRule="auto"/>
        <w:ind w:left="357" w:hanging="357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Повећање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правичности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–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већи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обухват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деце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из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руралних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ромских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насеља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као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деце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сметњама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развоју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.</w:t>
      </w:r>
    </w:p>
    <w:p w14:paraId="1BC8B5E0" w14:textId="77777777" w:rsidR="00C27AD1" w:rsidRDefault="00C27AD1">
      <w:pPr>
        <w:pStyle w:val="ListParagraph"/>
        <w:numPr>
          <w:ilvl w:val="0"/>
          <w:numId w:val="1"/>
        </w:numPr>
        <w:shd w:val="clear" w:color="auto" w:fill="D9E2F3"/>
        <w:spacing w:after="80" w:line="259" w:lineRule="auto"/>
        <w:ind w:left="357" w:hanging="357"/>
        <w:jc w:val="both"/>
        <w:textAlignment w:val="center"/>
      </w:pP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Потпуни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обухват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 xml:space="preserve"> ППП-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ом</w:t>
      </w:r>
      <w:proofErr w:type="spellEnd"/>
      <w:r>
        <w:rPr>
          <w:rFonts w:ascii="Tahoma" w:hAnsi="Tahoma" w:cs="Tahoma"/>
          <w:b/>
          <w:color w:val="2F5496"/>
          <w:sz w:val="22"/>
          <w:szCs w:val="22"/>
        </w:rPr>
        <w:t xml:space="preserve"> </w:t>
      </w: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 xml:space="preserve">укључујући и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маргинализован</w:t>
      </w:r>
      <w:proofErr w:type="spellEnd"/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е</w:t>
      </w:r>
      <w:r>
        <w:rPr>
          <w:rFonts w:ascii="Tahoma" w:hAnsi="Tahoma" w:cs="Tahoma"/>
          <w:b/>
          <w:color w:val="2F5496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color w:val="2F5496"/>
          <w:sz w:val="22"/>
          <w:szCs w:val="22"/>
        </w:rPr>
        <w:t>груп</w:t>
      </w:r>
      <w:proofErr w:type="spellEnd"/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е</w:t>
      </w:r>
      <w:r>
        <w:rPr>
          <w:rFonts w:ascii="Tahoma" w:hAnsi="Tahoma" w:cs="Tahoma"/>
          <w:b/>
          <w:color w:val="2F5496"/>
          <w:sz w:val="22"/>
          <w:szCs w:val="22"/>
        </w:rPr>
        <w:t>;</w:t>
      </w:r>
    </w:p>
    <w:p w14:paraId="7DF615F5" w14:textId="77777777" w:rsidR="00C27AD1" w:rsidRDefault="00C27AD1">
      <w:pPr>
        <w:shd w:val="clear" w:color="auto" w:fill="D9E2F3"/>
        <w:spacing w:after="80" w:line="259" w:lineRule="auto"/>
        <w:jc w:val="both"/>
        <w:textAlignment w:val="center"/>
        <w:rPr>
          <w:rFonts w:ascii="Tahoma" w:hAnsi="Tahoma" w:cs="Tahoma"/>
          <w:color w:val="000000"/>
          <w:sz w:val="16"/>
          <w:szCs w:val="16"/>
        </w:rPr>
      </w:pPr>
    </w:p>
    <w:p w14:paraId="64B5520F" w14:textId="77777777" w:rsidR="00C27AD1" w:rsidRDefault="00C27AD1">
      <w:pPr>
        <w:shd w:val="clear" w:color="auto" w:fill="D9E2F3"/>
        <w:spacing w:after="160" w:line="259" w:lineRule="auto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  <w:u w:val="single"/>
        </w:rPr>
        <w:t>Потребне</w:t>
      </w:r>
      <w:proofErr w:type="spellEnd"/>
      <w:r>
        <w:rPr>
          <w:rFonts w:ascii="Tahoma" w:hAnsi="Tahoma" w:cs="Tahoma"/>
          <w:color w:val="000000"/>
          <w:sz w:val="22"/>
          <w:szCs w:val="22"/>
          <w:u w:val="single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  <w:u w:val="single"/>
        </w:rPr>
        <w:t>локалне</w:t>
      </w:r>
      <w:proofErr w:type="spellEnd"/>
      <w:r>
        <w:rPr>
          <w:rFonts w:ascii="Tahoma" w:hAnsi="Tahoma" w:cs="Tahoma"/>
          <w:color w:val="000000"/>
          <w:sz w:val="22"/>
          <w:szCs w:val="22"/>
          <w:u w:val="single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  <w:u w:val="single"/>
        </w:rPr>
        <w:t>иницијативе</w:t>
      </w:r>
      <w:proofErr w:type="spellEnd"/>
      <w:r>
        <w:rPr>
          <w:rFonts w:ascii="Tahoma" w:hAnsi="Tahoma" w:cs="Tahoma"/>
          <w:color w:val="000000"/>
          <w:sz w:val="22"/>
          <w:szCs w:val="22"/>
          <w:u w:val="single"/>
        </w:rPr>
        <w:t>:</w:t>
      </w:r>
    </w:p>
    <w:p w14:paraId="1B1A059C" w14:textId="77777777" w:rsidR="00C27AD1" w:rsidRDefault="00C27AD1">
      <w:pPr>
        <w:pStyle w:val="ListParagraph"/>
        <w:numPr>
          <w:ilvl w:val="0"/>
          <w:numId w:val="2"/>
        </w:numPr>
        <w:shd w:val="clear" w:color="auto" w:fill="D9E2F3"/>
        <w:spacing w:after="80" w:line="259" w:lineRule="auto"/>
        <w:ind w:left="357" w:hanging="357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Проширење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јаслених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капацитета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;</w:t>
      </w:r>
    </w:p>
    <w:p w14:paraId="5055E453" w14:textId="77777777" w:rsidR="00C27AD1" w:rsidRDefault="00C27AD1">
      <w:pPr>
        <w:pStyle w:val="ListParagraph"/>
        <w:numPr>
          <w:ilvl w:val="0"/>
          <w:numId w:val="2"/>
        </w:numPr>
        <w:shd w:val="clear" w:color="auto" w:fill="D9E2F3"/>
        <w:spacing w:after="80" w:line="259" w:lineRule="auto"/>
        <w:ind w:left="357" w:hanging="357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Прошерење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вртићких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капацитета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;</w:t>
      </w:r>
    </w:p>
    <w:p w14:paraId="0A2515E7" w14:textId="77777777" w:rsidR="00C27AD1" w:rsidRDefault="00C27AD1">
      <w:pPr>
        <w:pStyle w:val="ListParagraph"/>
        <w:numPr>
          <w:ilvl w:val="0"/>
          <w:numId w:val="2"/>
        </w:numPr>
        <w:shd w:val="clear" w:color="auto" w:fill="D9E2F3"/>
        <w:spacing w:after="80" w:line="259" w:lineRule="auto"/>
        <w:ind w:left="357" w:hanging="357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Увођење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полудневних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програма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других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флексиблиних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програма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;</w:t>
      </w:r>
    </w:p>
    <w:p w14:paraId="4BC5F8E9" w14:textId="77777777" w:rsidR="00C27AD1" w:rsidRDefault="00C27AD1">
      <w:pPr>
        <w:pStyle w:val="ListParagraph"/>
        <w:numPr>
          <w:ilvl w:val="0"/>
          <w:numId w:val="2"/>
        </w:numPr>
        <w:shd w:val="clear" w:color="auto" w:fill="D9E2F3"/>
        <w:spacing w:after="80" w:line="259" w:lineRule="auto"/>
        <w:ind w:left="357" w:hanging="357"/>
        <w:jc w:val="both"/>
        <w:textAlignment w:val="center"/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Кампања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подизања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свести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значаја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ПВО.</w:t>
      </w:r>
    </w:p>
    <w:p w14:paraId="04EAF31E" w14:textId="77777777" w:rsidR="00C27AD1" w:rsidRDefault="00C27AD1">
      <w:pPr>
        <w:shd w:val="clear" w:color="auto" w:fill="D9E2F3"/>
        <w:spacing w:line="259" w:lineRule="auto"/>
        <w:jc w:val="both"/>
        <w:textAlignment w:val="center"/>
        <w:rPr>
          <w:rFonts w:ascii="Tahoma" w:hAnsi="Tahoma" w:cs="Tahoma"/>
          <w:bCs/>
          <w:color w:val="000000"/>
          <w:sz w:val="10"/>
          <w:szCs w:val="10"/>
        </w:rPr>
      </w:pPr>
    </w:p>
    <w:p w14:paraId="447D6BAA" w14:textId="77777777" w:rsidR="00C27AD1" w:rsidRDefault="00C27AD1">
      <w:pPr>
        <w:spacing w:after="80"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1A982137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 xml:space="preserve">Капацитети ПВО су у односу на исказану тражњу </w:t>
      </w:r>
      <w:r w:rsidR="00CC442E">
        <w:rPr>
          <w:rFonts w:ascii="Tahoma" w:hAnsi="Tahoma" w:cs="Tahoma"/>
          <w:b/>
          <w:color w:val="2F5496"/>
          <w:sz w:val="22"/>
          <w:szCs w:val="22"/>
          <w:lang w:val="sr-Cyrl-RS"/>
        </w:rPr>
        <w:t xml:space="preserve">до скоро били </w:t>
      </w: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довољни</w:t>
      </w:r>
      <w:r>
        <w:rPr>
          <w:rFonts w:ascii="Tahoma" w:hAnsi="Tahoma" w:cs="Tahoma"/>
          <w:sz w:val="22"/>
          <w:szCs w:val="22"/>
          <w:lang w:val="sr-Cyrl-RS"/>
        </w:rPr>
        <w:t xml:space="preserve">, што значи да је недовољан обухват највероватније резултат перципирање ПВО као „система за чување деце“ предшколског узраста а не као део васпитно-образовног система. </w:t>
      </w:r>
      <w:r w:rsidR="00CC442E">
        <w:rPr>
          <w:rFonts w:ascii="Tahoma" w:hAnsi="Tahoma" w:cs="Tahoma"/>
          <w:sz w:val="22"/>
          <w:szCs w:val="22"/>
          <w:lang w:val="sr-Cyrl-RS"/>
        </w:rPr>
        <w:t>У 2020.</w:t>
      </w:r>
      <w:r w:rsidR="003D171D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CC442E">
        <w:rPr>
          <w:rFonts w:ascii="Tahoma" w:hAnsi="Tahoma" w:cs="Tahoma"/>
          <w:sz w:val="22"/>
          <w:szCs w:val="22"/>
          <w:lang w:val="sr-Cyrl-RS"/>
        </w:rPr>
        <w:t>години за коју су расположиви подаци РЗС</w:t>
      </w:r>
      <w:r w:rsidR="00CC442E">
        <w:rPr>
          <w:rStyle w:val="FootnoteReference"/>
          <w:rFonts w:ascii="Tahoma" w:hAnsi="Tahoma" w:cs="Tahoma"/>
          <w:sz w:val="22"/>
          <w:szCs w:val="22"/>
          <w:lang w:val="sr-Cyrl-RS"/>
        </w:rPr>
        <w:footnoteReference w:id="14"/>
      </w:r>
      <w:r w:rsidR="00CC442E">
        <w:rPr>
          <w:rFonts w:ascii="Tahoma" w:hAnsi="Tahoma" w:cs="Tahoma"/>
          <w:sz w:val="22"/>
          <w:szCs w:val="22"/>
          <w:lang w:val="sr-Cyrl-RS"/>
        </w:rPr>
        <w:t xml:space="preserve"> о </w:t>
      </w:r>
      <w:proofErr w:type="spellStart"/>
      <w:r w:rsidR="00CC442E">
        <w:rPr>
          <w:rFonts w:ascii="Tahoma" w:hAnsi="Tahoma" w:cs="Tahoma"/>
          <w:sz w:val="22"/>
          <w:szCs w:val="22"/>
          <w:lang w:val="sr-Cyrl-RS"/>
        </w:rPr>
        <w:t>попуњености</w:t>
      </w:r>
      <w:proofErr w:type="spellEnd"/>
      <w:r w:rsidR="00CC442E">
        <w:rPr>
          <w:rFonts w:ascii="Tahoma" w:hAnsi="Tahoma" w:cs="Tahoma"/>
          <w:sz w:val="22"/>
          <w:szCs w:val="22"/>
          <w:lang w:val="sr-Cyrl-RS"/>
        </w:rPr>
        <w:t xml:space="preserve"> капацитета</w:t>
      </w:r>
      <w:r w:rsidR="003D171D">
        <w:rPr>
          <w:rFonts w:ascii="Tahoma" w:hAnsi="Tahoma" w:cs="Tahoma"/>
          <w:sz w:val="22"/>
          <w:szCs w:val="22"/>
          <w:lang w:val="sr-Cyrl-RS"/>
        </w:rPr>
        <w:t xml:space="preserve">, није било деце уписане преко норме нити оне која нису примљена. Међутим, према информацијама из општине, у 2020. години деветоро деце </w:t>
      </w:r>
      <w:r w:rsidR="003D171D" w:rsidRPr="003D171D">
        <w:rPr>
          <w:rFonts w:ascii="Tahoma" w:hAnsi="Tahoma" w:cs="Tahoma"/>
          <w:sz w:val="22"/>
          <w:szCs w:val="22"/>
          <w:lang w:val="sr-Cyrl-RS"/>
        </w:rPr>
        <w:t>различитих узраста (највише млађе групе од 2-4 године)</w:t>
      </w:r>
      <w:r w:rsidR="003D171D">
        <w:rPr>
          <w:rFonts w:ascii="Tahoma" w:hAnsi="Tahoma" w:cs="Tahoma"/>
          <w:sz w:val="22"/>
          <w:szCs w:val="22"/>
          <w:lang w:val="sr-Cyrl-RS"/>
        </w:rPr>
        <w:t xml:space="preserve"> је тренутно на листи чекања а шесторо деце је уписано преко капацитета. </w:t>
      </w:r>
      <w:r>
        <w:rPr>
          <w:rFonts w:ascii="Tahoma" w:hAnsi="Tahoma" w:cs="Tahoma"/>
          <w:sz w:val="22"/>
          <w:szCs w:val="22"/>
          <w:lang w:val="sr-Cyrl-RS"/>
        </w:rPr>
        <w:t xml:space="preserve">Капацитети ПВО у </w:t>
      </w:r>
      <w:proofErr w:type="spellStart"/>
      <w:r>
        <w:rPr>
          <w:rFonts w:ascii="Tahoma" w:hAnsi="Tahoma" w:cs="Tahoma"/>
          <w:sz w:val="22"/>
          <w:szCs w:val="22"/>
          <w:lang w:val="sr-Cyrl-RS"/>
        </w:rPr>
        <w:t>ванградским</w:t>
      </w:r>
      <w:proofErr w:type="spellEnd"/>
      <w:r>
        <w:rPr>
          <w:rFonts w:ascii="Tahoma" w:hAnsi="Tahoma" w:cs="Tahoma"/>
          <w:sz w:val="22"/>
          <w:szCs w:val="22"/>
          <w:lang w:val="sr-Cyrl-RS"/>
        </w:rPr>
        <w:t xml:space="preserve"> насељима постоје што је јако добро али је питање колики је проценат деце њиме обухваћен.</w:t>
      </w:r>
    </w:p>
    <w:p w14:paraId="593F0742" w14:textId="77777777" w:rsidR="00C27AD1" w:rsidRDefault="00C27AD1">
      <w:pPr>
        <w:spacing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6206455E" w14:textId="77777777" w:rsidR="00C27AD1" w:rsidRDefault="00C27AD1">
      <w:pPr>
        <w:spacing w:after="80" w:line="259" w:lineRule="auto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 xml:space="preserve">Табела 2. Предшколско образовање – капацитет, 2020. година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400"/>
        <w:gridCol w:w="1366"/>
        <w:gridCol w:w="1367"/>
        <w:gridCol w:w="1366"/>
      </w:tblGrid>
      <w:tr w:rsidR="00C27AD1" w14:paraId="4754D4CC" w14:textId="77777777" w:rsidTr="007C5425">
        <w:tc>
          <w:tcPr>
            <w:tcW w:w="4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</w:tcPr>
          <w:p w14:paraId="25A0118C" w14:textId="77777777" w:rsidR="00C27AD1" w:rsidRDefault="00C27AD1" w:rsidP="007C5425">
            <w:pPr>
              <w:rPr>
                <w:rFonts w:ascii="Tahoma" w:hAnsi="Tahoma" w:cs="Tahoma"/>
                <w:b/>
                <w:bCs/>
                <w:color w:val="FFFFFF"/>
                <w:sz w:val="22"/>
                <w:szCs w:val="22"/>
                <w:lang w:val="sr-Cyrl-RS"/>
              </w:rPr>
            </w:pP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08CDFF01" w14:textId="77777777" w:rsidR="00C27AD1" w:rsidRDefault="00C27AD1" w:rsidP="007C5425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Укупно</w:t>
            </w:r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</w:tcPr>
          <w:p w14:paraId="61BC865A" w14:textId="77777777" w:rsidR="00C27AD1" w:rsidRDefault="00C27AD1" w:rsidP="007C5425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Градска насеља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</w:tcPr>
          <w:p w14:paraId="187B255B" w14:textId="77777777" w:rsidR="00C27AD1" w:rsidRDefault="00C27AD1" w:rsidP="007C5425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Остала насеља</w:t>
            </w:r>
          </w:p>
        </w:tc>
      </w:tr>
      <w:tr w:rsidR="00C27AD1" w14:paraId="20338D47" w14:textId="77777777" w:rsidTr="007C5425">
        <w:tc>
          <w:tcPr>
            <w:tcW w:w="4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D9E2F3"/>
          </w:tcPr>
          <w:p w14:paraId="1C746D8E" w14:textId="77777777" w:rsidR="00C27AD1" w:rsidRDefault="00C27AD1" w:rsidP="007C5425">
            <w:r>
              <w:rPr>
                <w:rFonts w:ascii="Tahoma" w:hAnsi="Tahoma" w:cs="Tahoma"/>
                <w:b/>
                <w:bCs/>
                <w:color w:val="1F3864"/>
                <w:sz w:val="21"/>
                <w:szCs w:val="21"/>
                <w:lang w:val="sr-Cyrl-RS"/>
              </w:rPr>
              <w:t>Примљени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399B9317" w14:textId="77777777" w:rsidR="00C27AD1" w:rsidRDefault="00C27AD1" w:rsidP="007C5425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315</w:t>
            </w:r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20669D2B" w14:textId="77777777" w:rsidR="00C27AD1" w:rsidRDefault="00C27AD1" w:rsidP="007C5425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229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1BA83CDC" w14:textId="77777777" w:rsidR="00C27AD1" w:rsidRDefault="00C27AD1" w:rsidP="007C5425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86</w:t>
            </w:r>
          </w:p>
        </w:tc>
      </w:tr>
      <w:tr w:rsidR="00C27AD1" w14:paraId="08F200E1" w14:textId="77777777" w:rsidTr="007C5425">
        <w:tc>
          <w:tcPr>
            <w:tcW w:w="4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B4C6E7"/>
          </w:tcPr>
          <w:p w14:paraId="74BFAFF6" w14:textId="77777777" w:rsidR="00C27AD1" w:rsidRDefault="00C27AD1" w:rsidP="007C5425">
            <w:r>
              <w:rPr>
                <w:rFonts w:ascii="Tahoma" w:hAnsi="Tahoma" w:cs="Tahoma"/>
                <w:b/>
                <w:bCs/>
                <w:color w:val="1F3864"/>
                <w:sz w:val="21"/>
                <w:szCs w:val="21"/>
                <w:lang w:val="sr-Cyrl-RS"/>
              </w:rPr>
              <w:t xml:space="preserve">Уписани преко капацитета 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78CE6208" w14:textId="77777777" w:rsidR="00C27AD1" w:rsidRDefault="00C27AD1" w:rsidP="007C5425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2093BBE1" w14:textId="77777777" w:rsidR="00C27AD1" w:rsidRDefault="00C27AD1" w:rsidP="007C5425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5E9B5AA9" w14:textId="77777777" w:rsidR="00C27AD1" w:rsidRDefault="00C27AD1" w:rsidP="007C5425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</w:tr>
      <w:tr w:rsidR="00C27AD1" w14:paraId="375B088B" w14:textId="77777777" w:rsidTr="007C5425">
        <w:tc>
          <w:tcPr>
            <w:tcW w:w="4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D9E2F3"/>
          </w:tcPr>
          <w:p w14:paraId="47187867" w14:textId="77777777" w:rsidR="00C27AD1" w:rsidRDefault="00C27AD1" w:rsidP="007C5425">
            <w:r>
              <w:rPr>
                <w:rFonts w:ascii="Tahoma" w:hAnsi="Tahoma" w:cs="Tahoma"/>
                <w:b/>
                <w:bCs/>
                <w:color w:val="1F3864"/>
                <w:sz w:val="21"/>
                <w:szCs w:val="21"/>
                <w:lang w:val="sr-Cyrl-RS"/>
              </w:rPr>
              <w:t>Нису примљени због попуњености капацитета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10CFD7E5" w14:textId="77777777" w:rsidR="00C27AD1" w:rsidRDefault="00C27AD1" w:rsidP="007C5425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109A22D1" w14:textId="77777777" w:rsidR="00C27AD1" w:rsidRDefault="00C27AD1" w:rsidP="007C5425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04366F5D" w14:textId="77777777" w:rsidR="00C27AD1" w:rsidRDefault="00C27AD1" w:rsidP="007C5425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</w:tr>
    </w:tbl>
    <w:p w14:paraId="3A639A75" w14:textId="77777777" w:rsidR="00C27AD1" w:rsidRDefault="00C27AD1">
      <w:pPr>
        <w:jc w:val="both"/>
        <w:rPr>
          <w:b/>
          <w:lang w:val="sr-Cyrl-RS"/>
        </w:rPr>
      </w:pPr>
    </w:p>
    <w:p w14:paraId="1A294BCE" w14:textId="77777777" w:rsidR="00C27AD1" w:rsidRDefault="00C27AD1">
      <w:pPr>
        <w:jc w:val="both"/>
        <w:rPr>
          <w:b/>
          <w:lang w:val="sr-Cyrl-RS"/>
        </w:rPr>
      </w:pPr>
    </w:p>
    <w:p w14:paraId="3D4DD462" w14:textId="77777777" w:rsidR="00C27AD1" w:rsidRDefault="00C27AD1">
      <w:pPr>
        <w:jc w:val="both"/>
        <w:rPr>
          <w:b/>
          <w:lang w:val="sr-Cyrl-RS"/>
        </w:rPr>
      </w:pPr>
    </w:p>
    <w:p w14:paraId="6DD9966E" w14:textId="77777777" w:rsidR="00C27AD1" w:rsidRDefault="00C27AD1">
      <w:pPr>
        <w:jc w:val="both"/>
        <w:rPr>
          <w:b/>
          <w:lang w:val="sr-Cyrl-RS"/>
        </w:rPr>
      </w:pPr>
    </w:p>
    <w:p w14:paraId="4F6CEA34" w14:textId="77777777" w:rsidR="00C27AD1" w:rsidRDefault="00C27AD1">
      <w:pPr>
        <w:jc w:val="both"/>
        <w:rPr>
          <w:b/>
          <w:lang w:val="sr-Cyrl-RS"/>
        </w:rPr>
      </w:pPr>
    </w:p>
    <w:p w14:paraId="2061AAA1" w14:textId="77777777" w:rsidR="00C27AD1" w:rsidRDefault="00C27AD1">
      <w:pPr>
        <w:jc w:val="both"/>
        <w:rPr>
          <w:b/>
          <w:lang w:val="sr-Cyrl-RS"/>
        </w:rPr>
      </w:pPr>
    </w:p>
    <w:p w14:paraId="5DDB9EE1" w14:textId="77777777" w:rsidR="00C27AD1" w:rsidRDefault="00C27AD1">
      <w:pPr>
        <w:jc w:val="both"/>
      </w:pPr>
      <w:r>
        <w:rPr>
          <w:rFonts w:ascii="Tahoma" w:hAnsi="Tahoma" w:cs="Tahoma"/>
          <w:sz w:val="18"/>
          <w:szCs w:val="18"/>
          <w:lang w:val="sr-Cyrl-RS"/>
        </w:rPr>
        <w:t>Извор: ДевИнфо база - профили општина (примарни извор Статистика образовања RZS), Републичког завода за статистику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4D6B0703" w14:textId="77777777" w:rsidR="00C27AD1" w:rsidRDefault="00C27AD1">
      <w:pPr>
        <w:spacing w:after="80" w:line="259" w:lineRule="auto"/>
        <w:jc w:val="both"/>
        <w:rPr>
          <w:rFonts w:ascii="Tahoma" w:hAnsi="Tahoma" w:cs="Tahoma"/>
          <w:b/>
          <w:sz w:val="10"/>
          <w:szCs w:val="10"/>
          <w:lang w:val="sr-Cyrl-RS"/>
        </w:rPr>
      </w:pPr>
    </w:p>
    <w:p w14:paraId="1DF8DFCC" w14:textId="77777777" w:rsidR="00186EC8" w:rsidRPr="00186EC8" w:rsidRDefault="00C27AD1" w:rsidP="00186EC8">
      <w:pPr>
        <w:spacing w:after="160" w:line="259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 xml:space="preserve">У понуди ПВО доминира класичан целодневни програм, не постоји понуда флексибилних и/или алтернативних програма сем у случају полудневног ППП </w:t>
      </w:r>
      <w:r w:rsidRPr="00186EC8">
        <w:rPr>
          <w:rFonts w:ascii="Tahoma" w:hAnsi="Tahoma" w:cs="Tahoma"/>
          <w:b/>
          <w:color w:val="2F5496"/>
          <w:sz w:val="22"/>
          <w:szCs w:val="22"/>
          <w:lang w:val="sr-Cyrl-RS"/>
        </w:rPr>
        <w:t>програма</w:t>
      </w:r>
      <w:r w:rsidRPr="00186EC8">
        <w:rPr>
          <w:rFonts w:ascii="Tahoma" w:hAnsi="Tahoma" w:cs="Tahoma"/>
          <w:sz w:val="22"/>
          <w:szCs w:val="22"/>
          <w:lang w:val="sr-Cyrl-RS"/>
        </w:rPr>
        <w:t xml:space="preserve"> (Табела 3). </w:t>
      </w:r>
      <w:r w:rsidR="00186EC8" w:rsidRPr="00186EC8">
        <w:rPr>
          <w:rFonts w:ascii="Tahoma" w:hAnsi="Tahoma" w:cs="Tahoma"/>
          <w:sz w:val="22"/>
          <w:szCs w:val="22"/>
          <w:lang w:val="sr-Cyrl-RS"/>
        </w:rPr>
        <w:t xml:space="preserve">Према информацијама из општине, у оквиру </w:t>
      </w:r>
      <w:r w:rsidR="00186EC8" w:rsidRPr="00186EC8">
        <w:rPr>
          <w:rFonts w:ascii="Tahoma" w:hAnsi="Tahoma" w:cs="Tahoma"/>
          <w:sz w:val="22"/>
          <w:szCs w:val="22"/>
          <w:lang w:val="sr-Latn-RS"/>
        </w:rPr>
        <w:t xml:space="preserve">ECEC </w:t>
      </w:r>
      <w:r w:rsidR="00186EC8" w:rsidRPr="00186EC8">
        <w:rPr>
          <w:rFonts w:ascii="Tahoma" w:hAnsi="Tahoma" w:cs="Tahoma"/>
          <w:sz w:val="22"/>
          <w:szCs w:val="22"/>
          <w:lang w:val="sr-Cyrl-RS"/>
        </w:rPr>
        <w:t xml:space="preserve">пројекта и </w:t>
      </w:r>
      <w:r w:rsidR="00186EC8" w:rsidRPr="00186EC8">
        <w:rPr>
          <w:rFonts w:ascii="Tahoma" w:hAnsi="Tahoma" w:cs="Tahoma"/>
          <w:sz w:val="22"/>
          <w:szCs w:val="22"/>
          <w:lang w:val="sr-Latn-RS"/>
        </w:rPr>
        <w:t>UNICEF-</w:t>
      </w:r>
      <w:r w:rsidR="00186EC8" w:rsidRPr="00186EC8">
        <w:rPr>
          <w:rFonts w:ascii="Tahoma" w:hAnsi="Tahoma" w:cs="Tahoma"/>
          <w:sz w:val="22"/>
          <w:szCs w:val="22"/>
          <w:lang w:val="sr-Latn-RS"/>
        </w:rPr>
        <w:lastRenderedPageBreak/>
        <w:t>a</w:t>
      </w:r>
      <w:r w:rsidR="00186EC8" w:rsidRPr="00186EC8">
        <w:rPr>
          <w:rFonts w:ascii="Tahoma" w:hAnsi="Tahoma" w:cs="Tahoma"/>
          <w:sz w:val="22"/>
          <w:szCs w:val="22"/>
          <w:lang w:val="sr-Cyrl-RS"/>
        </w:rPr>
        <w:t xml:space="preserve"> у 5 месних заједница су формиране мешовите групе где поред деце укључене у ППП </w:t>
      </w:r>
      <w:proofErr w:type="spellStart"/>
      <w:r w:rsidR="00186EC8" w:rsidRPr="00186EC8">
        <w:rPr>
          <w:rFonts w:ascii="Tahoma" w:hAnsi="Tahoma" w:cs="Tahoma"/>
          <w:sz w:val="22"/>
          <w:szCs w:val="22"/>
          <w:lang w:val="sr-Cyrl-RS"/>
        </w:rPr>
        <w:t>четворочасовни</w:t>
      </w:r>
      <w:proofErr w:type="spellEnd"/>
      <w:r w:rsidR="00186EC8" w:rsidRPr="00186EC8">
        <w:rPr>
          <w:rFonts w:ascii="Tahoma" w:hAnsi="Tahoma" w:cs="Tahoma"/>
          <w:sz w:val="22"/>
          <w:szCs w:val="22"/>
          <w:lang w:val="sr-Cyrl-RS"/>
        </w:rPr>
        <w:t xml:space="preserve"> програм похађају и деца узраста од 3 до 5,5 година. </w:t>
      </w:r>
    </w:p>
    <w:p w14:paraId="6FAE698D" w14:textId="77777777" w:rsidR="00C27AD1" w:rsidRDefault="00C27AD1">
      <w:pPr>
        <w:spacing w:after="80" w:line="259" w:lineRule="auto"/>
      </w:pPr>
      <w:proofErr w:type="spellStart"/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>Taбелa</w:t>
      </w:r>
      <w:proofErr w:type="spellEnd"/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 xml:space="preserve"> 3. Деца у предшколском образовању према дужини дневног боравка (у %), за период 2018─2020.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51"/>
        <w:gridCol w:w="1300"/>
        <w:gridCol w:w="1300"/>
        <w:gridCol w:w="1299"/>
      </w:tblGrid>
      <w:tr w:rsidR="00C27AD1" w14:paraId="2152EF1D" w14:textId="77777777">
        <w:tc>
          <w:tcPr>
            <w:tcW w:w="41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</w:tcPr>
          <w:p w14:paraId="11143B44" w14:textId="77777777" w:rsidR="00C27AD1" w:rsidRDefault="00C27AD1">
            <w:pPr>
              <w:rPr>
                <w:rFonts w:ascii="Tahoma" w:hAnsi="Tahoma" w:cs="Tahoma"/>
                <w:b/>
                <w:bCs/>
                <w:color w:val="FFFFFF"/>
                <w:sz w:val="22"/>
                <w:szCs w:val="22"/>
                <w:lang w:val="sr-Cyrl-RS"/>
              </w:rPr>
            </w:pP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503248B0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2018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341B6F7D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2019</w:t>
            </w:r>
          </w:p>
        </w:tc>
        <w:tc>
          <w:tcPr>
            <w:tcW w:w="129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</w:tcPr>
          <w:p w14:paraId="1B90E94D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2020</w:t>
            </w:r>
          </w:p>
        </w:tc>
      </w:tr>
      <w:tr w:rsidR="00C27AD1" w14:paraId="7E1038A8" w14:textId="77777777">
        <w:tc>
          <w:tcPr>
            <w:tcW w:w="41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D9E2F3"/>
          </w:tcPr>
          <w:p w14:paraId="05ABF199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1"/>
                <w:szCs w:val="21"/>
                <w:lang w:val="sr-Cyrl-RS"/>
              </w:rPr>
              <w:t>До 6 сати дневно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306027B1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73DF721C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  <w:tc>
          <w:tcPr>
            <w:tcW w:w="12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5E29A0F1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</w:tr>
      <w:tr w:rsidR="00C27AD1" w14:paraId="455BB773" w14:textId="77777777">
        <w:tc>
          <w:tcPr>
            <w:tcW w:w="41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B4C6E7"/>
          </w:tcPr>
          <w:p w14:paraId="4F5A6F94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1"/>
                <w:szCs w:val="21"/>
                <w:lang w:val="sr-Cyrl-RS"/>
              </w:rPr>
              <w:t>До 6 сати дневно 3 пута недељно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5B7765FE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0E90AA54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0</w:t>
            </w:r>
          </w:p>
        </w:tc>
        <w:tc>
          <w:tcPr>
            <w:tcW w:w="12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5EE2FEF4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3.5</w:t>
            </w:r>
          </w:p>
        </w:tc>
      </w:tr>
      <w:tr w:rsidR="00C27AD1" w14:paraId="6498F92C" w14:textId="77777777">
        <w:tc>
          <w:tcPr>
            <w:tcW w:w="41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D9E2F3"/>
          </w:tcPr>
          <w:p w14:paraId="6A998453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1"/>
                <w:szCs w:val="21"/>
                <w:lang w:val="sr-Cyrl-RS"/>
              </w:rPr>
              <w:t>Од 9 до 12 сати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1E766448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52.1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3EF1E8DC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57.7</w:t>
            </w:r>
          </w:p>
        </w:tc>
        <w:tc>
          <w:tcPr>
            <w:tcW w:w="12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617F1D6E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56.8</w:t>
            </w:r>
          </w:p>
        </w:tc>
      </w:tr>
      <w:tr w:rsidR="00C27AD1" w14:paraId="4B72C3DC" w14:textId="77777777">
        <w:tc>
          <w:tcPr>
            <w:tcW w:w="41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B4C6E7"/>
          </w:tcPr>
          <w:p w14:paraId="5B9C029F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1"/>
                <w:szCs w:val="21"/>
                <w:lang w:val="sr-Cyrl-RS"/>
              </w:rPr>
              <w:t>У ППП 4 сата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0B1D6E59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34.7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031F04FB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36.4</w:t>
            </w:r>
          </w:p>
        </w:tc>
        <w:tc>
          <w:tcPr>
            <w:tcW w:w="12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580ED0F2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27.0</w:t>
            </w:r>
          </w:p>
        </w:tc>
      </w:tr>
      <w:tr w:rsidR="00C27AD1" w14:paraId="6907EC5C" w14:textId="77777777">
        <w:tc>
          <w:tcPr>
            <w:tcW w:w="41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D9E2F3"/>
          </w:tcPr>
          <w:p w14:paraId="0CD0A7A4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1"/>
                <w:szCs w:val="21"/>
                <w:lang w:val="sr-Cyrl-RS"/>
              </w:rPr>
              <w:t>У ППП целодневни боравак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3BBBF474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13.2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349DD09F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5.9</w:t>
            </w:r>
          </w:p>
        </w:tc>
        <w:tc>
          <w:tcPr>
            <w:tcW w:w="12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25592C5F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1"/>
                <w:szCs w:val="21"/>
                <w:lang w:val="sr-Cyrl-RS"/>
              </w:rPr>
              <w:t>12.7</w:t>
            </w:r>
          </w:p>
        </w:tc>
      </w:tr>
      <w:tr w:rsidR="00C27AD1" w14:paraId="54815C8B" w14:textId="77777777">
        <w:tc>
          <w:tcPr>
            <w:tcW w:w="41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2F5496"/>
          </w:tcPr>
          <w:p w14:paraId="700379EF" w14:textId="77777777" w:rsidR="00C27AD1" w:rsidRDefault="00C27AD1"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Укупно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</w:tcPr>
          <w:p w14:paraId="5069B0F9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100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</w:tcPr>
          <w:p w14:paraId="01B710B6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100</w:t>
            </w:r>
          </w:p>
        </w:tc>
        <w:tc>
          <w:tcPr>
            <w:tcW w:w="12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</w:tcPr>
          <w:p w14:paraId="6708B7D5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b/>
                <w:bCs/>
                <w:color w:val="FFFFFF"/>
                <w:sz w:val="21"/>
                <w:szCs w:val="21"/>
                <w:lang w:val="sr-Cyrl-RS"/>
              </w:rPr>
              <w:t>100</w:t>
            </w:r>
          </w:p>
        </w:tc>
      </w:tr>
    </w:tbl>
    <w:p w14:paraId="01C81C23" w14:textId="77777777" w:rsidR="00C27AD1" w:rsidRDefault="00C27AD1">
      <w:pPr>
        <w:rPr>
          <w:rFonts w:ascii="Tahoma" w:hAnsi="Tahoma" w:cs="Tahoma"/>
          <w:sz w:val="18"/>
          <w:szCs w:val="18"/>
          <w:lang w:val="sr-Cyrl-RS"/>
        </w:rPr>
      </w:pPr>
    </w:p>
    <w:p w14:paraId="74EC23CF" w14:textId="77777777" w:rsidR="00C27AD1" w:rsidRDefault="00C27AD1">
      <w:pPr>
        <w:rPr>
          <w:rFonts w:ascii="Tahoma" w:hAnsi="Tahoma" w:cs="Tahoma"/>
          <w:sz w:val="18"/>
          <w:szCs w:val="18"/>
          <w:lang w:val="sr-Cyrl-RS"/>
        </w:rPr>
      </w:pPr>
    </w:p>
    <w:p w14:paraId="2226A5C7" w14:textId="77777777" w:rsidR="00C27AD1" w:rsidRDefault="00C27AD1">
      <w:r>
        <w:rPr>
          <w:rFonts w:ascii="Tahoma" w:hAnsi="Tahoma" w:cs="Tahoma"/>
          <w:sz w:val="18"/>
          <w:szCs w:val="18"/>
          <w:lang w:val="sr-Cyrl-RS"/>
        </w:rPr>
        <w:t>Извор: ДевИнфо база – профили општина (примарни извор Статистика образовања RZS), Републичког завода за статистику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3FB28B26" w14:textId="77777777" w:rsidR="00C27AD1" w:rsidRDefault="00C27AD1">
      <w:pPr>
        <w:spacing w:after="80"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3F911210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Проценат родитеља који плаћа пун износ учешћа</w:t>
      </w:r>
      <w:r>
        <w:rPr>
          <w:rFonts w:ascii="Tahoma" w:hAnsi="Tahoma" w:cs="Tahoma"/>
          <w:color w:val="2F5496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 xml:space="preserve">у трошковима ПВО се повећава и сада износи преко 60%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што је више од просека Србије</w:t>
      </w:r>
      <w:r>
        <w:rPr>
          <w:rFonts w:ascii="Tahoma" w:hAnsi="Tahoma" w:cs="Tahoma"/>
          <w:sz w:val="22"/>
          <w:szCs w:val="22"/>
          <w:lang w:val="sr-Cyrl-RS"/>
        </w:rPr>
        <w:t>. Остали родитељи уопште не партиципирају, и јако је мали проценат оних којима се регресира партиципација</w:t>
      </w:r>
      <w:r w:rsidR="00CA1AC5">
        <w:rPr>
          <w:rStyle w:val="FootnoteReference"/>
          <w:rFonts w:ascii="Tahoma" w:hAnsi="Tahoma" w:cs="Tahoma"/>
          <w:sz w:val="22"/>
          <w:szCs w:val="22"/>
          <w:lang w:val="sr-Cyrl-RS"/>
        </w:rPr>
        <w:footnoteReference w:id="15"/>
      </w:r>
      <w:r>
        <w:rPr>
          <w:rFonts w:ascii="Tahoma" w:hAnsi="Tahoma" w:cs="Tahoma"/>
          <w:sz w:val="22"/>
          <w:szCs w:val="22"/>
          <w:lang w:val="sr-Cyrl-RS"/>
        </w:rPr>
        <w:t xml:space="preserve">. </w:t>
      </w:r>
    </w:p>
    <w:p w14:paraId="3B6EC0D0" w14:textId="77777777" w:rsidR="00C27AD1" w:rsidRDefault="00C27AD1">
      <w:pPr>
        <w:spacing w:line="259" w:lineRule="auto"/>
        <w:rPr>
          <w:rFonts w:ascii="Tahoma" w:hAnsi="Tahoma" w:cs="Tahoma"/>
          <w:b/>
          <w:sz w:val="10"/>
          <w:szCs w:val="10"/>
          <w:lang w:val="sr-Cyrl-RS"/>
        </w:rPr>
      </w:pPr>
    </w:p>
    <w:p w14:paraId="22E7AC9A" w14:textId="77777777" w:rsidR="00C27AD1" w:rsidRDefault="00C27AD1">
      <w:pPr>
        <w:spacing w:after="80" w:line="259" w:lineRule="auto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 xml:space="preserve">Графикон 3. Деца у предшколском образовању према учешћу родитеља у трошковима које родитељи плаћају (у %), за период 2018-2020. </w:t>
      </w:r>
    </w:p>
    <w:p w14:paraId="2CD55CE6" w14:textId="77777777" w:rsidR="00C27AD1" w:rsidRDefault="00C27AD1">
      <w:pPr>
        <w:spacing w:after="80" w:line="259" w:lineRule="auto"/>
        <w:rPr>
          <w:rFonts w:ascii="Tahoma" w:hAnsi="Tahoma" w:cs="Tahoma"/>
          <w:bCs/>
          <w:color w:val="2F5496"/>
          <w:sz w:val="22"/>
          <w:szCs w:val="22"/>
          <w:lang w:val="sr-Cyrl-RS"/>
        </w:rPr>
      </w:pPr>
    </w:p>
    <w:p w14:paraId="1059ABF0" w14:textId="77777777" w:rsidR="00C27AD1" w:rsidRDefault="00BE2F6B">
      <w:pPr>
        <w:spacing w:after="80" w:line="259" w:lineRule="auto"/>
        <w:jc w:val="center"/>
        <w:rPr>
          <w:rFonts w:ascii="Tahoma" w:hAnsi="Tahoma" w:cs="Tahoma"/>
          <w:sz w:val="18"/>
          <w:szCs w:val="18"/>
          <w:lang w:val="sr-Cyrl-RS"/>
        </w:rPr>
      </w:pPr>
      <w:r w:rsidRPr="00342D0C">
        <w:rPr>
          <w:rFonts w:ascii="Tahoma" w:hAnsi="Tahoma" w:cs="Tahoma"/>
          <w:noProof/>
        </w:rPr>
        <w:drawing>
          <wp:inline distT="0" distB="0" distL="0" distR="0" wp14:anchorId="53F4EAD8" wp14:editId="75E2532E">
            <wp:extent cx="4258101" cy="2750024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B25DB7F" w14:textId="77777777" w:rsidR="00C27AD1" w:rsidRDefault="00C27AD1">
      <w:pPr>
        <w:jc w:val="both"/>
        <w:textAlignment w:val="center"/>
      </w:pPr>
      <w:r>
        <w:rPr>
          <w:rFonts w:ascii="Tahoma" w:hAnsi="Tahoma" w:cs="Tahoma"/>
          <w:sz w:val="18"/>
          <w:szCs w:val="18"/>
          <w:lang w:val="sr-Cyrl-RS"/>
        </w:rPr>
        <w:t>Извор: ДевИнфо база – профили општина (примарни извор Статистика образовања RZS), Републичког завода за статистику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63878C2D" w14:textId="77777777" w:rsidR="00C27AD1" w:rsidRDefault="00C27AD1">
      <w:pPr>
        <w:pStyle w:val="Heading2"/>
        <w:spacing w:before="160" w:after="160" w:line="259" w:lineRule="auto"/>
      </w:pPr>
      <w:proofErr w:type="spellStart"/>
      <w:r>
        <w:rPr>
          <w:rFonts w:ascii="Tahoma" w:hAnsi="Tahoma" w:cs="Tahoma"/>
          <w:b/>
          <w:bCs/>
          <w:sz w:val="24"/>
          <w:szCs w:val="24"/>
          <w:lang w:val="sr-Cyrl-RS"/>
        </w:rPr>
        <w:lastRenderedPageBreak/>
        <w:t>Oсновно</w:t>
      </w:r>
      <w:proofErr w:type="spellEnd"/>
      <w:r>
        <w:rPr>
          <w:rFonts w:ascii="Tahoma" w:hAnsi="Tahoma" w:cs="Tahoma"/>
          <w:b/>
          <w:bCs/>
          <w:sz w:val="24"/>
          <w:szCs w:val="24"/>
          <w:lang w:val="sr-Cyrl-RS"/>
        </w:rPr>
        <w:t xml:space="preserve"> образовање </w:t>
      </w:r>
    </w:p>
    <w:p w14:paraId="6219924E" w14:textId="77777777" w:rsidR="00C27AD1" w:rsidRDefault="00C27AD1">
      <w:pPr>
        <w:spacing w:after="160" w:line="259" w:lineRule="auto"/>
        <w:jc w:val="both"/>
        <w:textAlignment w:val="center"/>
        <w:rPr>
          <w:rFonts w:ascii="Tahoma" w:hAnsi="Tahoma" w:cs="Tahoma"/>
          <w:iCs/>
          <w:sz w:val="10"/>
          <w:szCs w:val="10"/>
          <w:lang w:val="sr-Cyrl-RS"/>
        </w:rPr>
      </w:pPr>
    </w:p>
    <w:p w14:paraId="0A0EB320" w14:textId="77777777" w:rsidR="00C27AD1" w:rsidRDefault="00C27AD1">
      <w:pPr>
        <w:pStyle w:val="MediumGrid1-Accent21"/>
        <w:widowControl w:val="0"/>
        <w:shd w:val="clear" w:color="auto" w:fill="D9E2F3"/>
        <w:spacing w:before="0" w:after="160" w:line="259" w:lineRule="auto"/>
        <w:ind w:left="0"/>
        <w:jc w:val="both"/>
      </w:pPr>
      <w:r>
        <w:rPr>
          <w:rFonts w:ascii="Tahoma" w:hAnsi="Tahoma" w:cs="Tahoma"/>
          <w:b/>
          <w:bCs/>
          <w:color w:val="1F3864"/>
          <w:sz w:val="22"/>
          <w:szCs w:val="22"/>
          <w:lang w:val="sr-Cyrl-RS"/>
        </w:rPr>
        <w:t xml:space="preserve">Оквир 4. Стратешки циљеви основног образовања </w:t>
      </w:r>
    </w:p>
    <w:p w14:paraId="70FA7E9B" w14:textId="77777777" w:rsidR="00C27AD1" w:rsidRDefault="00C27AD1">
      <w:pPr>
        <w:pStyle w:val="MediumGrid1-Accent21"/>
        <w:widowControl w:val="0"/>
        <w:shd w:val="clear" w:color="auto" w:fill="D9E2F3"/>
        <w:spacing w:before="0" w:after="160" w:line="259" w:lineRule="auto"/>
        <w:ind w:left="0"/>
        <w:jc w:val="both"/>
      </w:pPr>
      <w:r>
        <w:rPr>
          <w:rFonts w:ascii="Tahoma" w:hAnsi="Tahoma" w:cs="Tahoma"/>
          <w:sz w:val="22"/>
          <w:szCs w:val="22"/>
          <w:lang w:val="sr-Cyrl-RS"/>
        </w:rPr>
        <w:t>Стратегија образовања до 2020. предвиђала је да «до 2020. године сви дечаци и девојчице законом предвиђеног школског узраста (минимално 98% генерације), без обзира на социо-економске, здравствене, регионалне, националне, језичке, етничке, верске и друге карактеристике, обухваћени су квалитетним основним образовањем и васпитањем из којег осипање није веће од 5% (тј. завршава основну школу 93% генерације), не само на националном нивоу већ и за категорије деце из осетљивих група (сеоска, ромска, сиромашна деца и деца са инвалидитетом и сметњама у развоју)» (Влада РС, 2012:29).</w:t>
      </w:r>
    </w:p>
    <w:p w14:paraId="54D7F20C" w14:textId="77777777" w:rsidR="00C27AD1" w:rsidRDefault="00C27AD1">
      <w:pPr>
        <w:pStyle w:val="MediumGrid1-Accent21"/>
        <w:widowControl w:val="0"/>
        <w:shd w:val="clear" w:color="auto" w:fill="D9E2F3"/>
        <w:spacing w:before="0" w:after="160" w:line="259" w:lineRule="auto"/>
        <w:ind w:left="0"/>
        <w:jc w:val="both"/>
      </w:pPr>
      <w:r>
        <w:rPr>
          <w:rFonts w:ascii="Tahoma" w:hAnsi="Tahoma" w:cs="Tahoma"/>
          <w:sz w:val="22"/>
          <w:szCs w:val="22"/>
          <w:lang w:val="sr-Cyrl-RS"/>
        </w:rPr>
        <w:t xml:space="preserve">Циљеви из Стратегије 2020 су добрим делом остварени, а Стратегија образовања до 2030. предвиђа потпун обухват основним образовањем, побољшање квалитета образовање, оптимизацију мрежа основних школа. </w:t>
      </w:r>
    </w:p>
    <w:p w14:paraId="7B6DAC5E" w14:textId="77777777" w:rsidR="00C27AD1" w:rsidRDefault="00C27AD1">
      <w:pPr>
        <w:pStyle w:val="MediumGrid1-Accent21"/>
        <w:widowControl w:val="0"/>
        <w:shd w:val="clear" w:color="auto" w:fill="D9E2F3"/>
        <w:spacing w:before="0" w:after="0" w:line="259" w:lineRule="auto"/>
        <w:ind w:left="0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397A9593" w14:textId="77777777" w:rsidR="00C27AD1" w:rsidRDefault="00C27AD1">
      <w:pPr>
        <w:spacing w:after="160" w:line="259" w:lineRule="auto"/>
        <w:jc w:val="both"/>
        <w:textAlignment w:val="center"/>
        <w:rPr>
          <w:rFonts w:ascii="Tahoma" w:hAnsi="Tahoma" w:cs="Tahoma"/>
          <w:bCs/>
          <w:sz w:val="10"/>
          <w:szCs w:val="10"/>
          <w:lang w:val="sr-Cyrl-RS"/>
        </w:rPr>
      </w:pPr>
    </w:p>
    <w:p w14:paraId="2EC8F2F5" w14:textId="77777777" w:rsidR="00C27AD1" w:rsidRDefault="00C27AD1">
      <w:pPr>
        <w:spacing w:after="160" w:line="259" w:lineRule="auto"/>
        <w:jc w:val="both"/>
        <w:textAlignment w:val="center"/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У Крупњу постоје 2 матичне основне школе са чак 15 подручних (издвојених) одељења</w:t>
      </w:r>
      <w:r>
        <w:rPr>
          <w:rStyle w:val="FootnoteCharacters"/>
          <w:rFonts w:ascii="Tahoma" w:hAnsi="Tahoma" w:cs="Tahoma"/>
          <w:b/>
          <w:color w:val="2F5496"/>
          <w:sz w:val="22"/>
          <w:szCs w:val="22"/>
          <w:lang w:val="sr-Cyrl-RS"/>
        </w:rPr>
        <w:footnoteReference w:id="16"/>
      </w: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.</w:t>
      </w:r>
      <w:r>
        <w:rPr>
          <w:rFonts w:ascii="Tahoma" w:hAnsi="Tahoma" w:cs="Tahoma"/>
          <w:color w:val="2F5496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 xml:space="preserve">Једна матична школа се налази у градском насељу је друга школа и сва подручна одељења у ванградским (осталим) насељима. Већина подручних одељења су четворогодишња. </w:t>
      </w:r>
    </w:p>
    <w:p w14:paraId="6E1D7093" w14:textId="77777777" w:rsidR="00C27AD1" w:rsidRDefault="00C27AD1">
      <w:pPr>
        <w:spacing w:line="259" w:lineRule="auto"/>
        <w:jc w:val="both"/>
        <w:textAlignment w:val="center"/>
        <w:rPr>
          <w:rFonts w:ascii="Tahoma" w:hAnsi="Tahoma" w:cs="Tahoma"/>
          <w:b/>
          <w:sz w:val="10"/>
          <w:szCs w:val="10"/>
          <w:lang w:val="sr-Cyrl-RS"/>
        </w:rPr>
      </w:pPr>
    </w:p>
    <w:p w14:paraId="7A74B3DB" w14:textId="77777777" w:rsidR="00C27AD1" w:rsidRDefault="00C27AD1">
      <w:pPr>
        <w:spacing w:after="160" w:line="259" w:lineRule="auto"/>
        <w:textAlignment w:val="center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 xml:space="preserve">Графикон 4. Oсновне школе према типу насеља, у 2021. години </w:t>
      </w:r>
    </w:p>
    <w:p w14:paraId="6A24CD85" w14:textId="77777777" w:rsidR="00C27AD1" w:rsidRDefault="00BE2F6B">
      <w:pPr>
        <w:jc w:val="center"/>
        <w:rPr>
          <w:rFonts w:ascii="Tahoma" w:hAnsi="Tahoma" w:cs="Tahoma"/>
          <w:sz w:val="18"/>
          <w:szCs w:val="18"/>
          <w:lang w:val="sr-Cyrl-RS"/>
        </w:rPr>
      </w:pPr>
      <w:r w:rsidRPr="00342D0C">
        <w:rPr>
          <w:rFonts w:ascii="Tahoma" w:hAnsi="Tahoma" w:cs="Tahoma"/>
          <w:noProof/>
        </w:rPr>
        <w:drawing>
          <wp:inline distT="0" distB="0" distL="0" distR="0" wp14:anchorId="069E0F70" wp14:editId="78C2FBC0">
            <wp:extent cx="4258101" cy="2627195"/>
            <wp:effectExtent l="0" t="0" r="0" b="0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0ED55FD" w14:textId="77777777" w:rsidR="00C27AD1" w:rsidRDefault="00C27AD1">
      <w:pPr>
        <w:jc w:val="both"/>
        <w:textAlignment w:val="center"/>
        <w:rPr>
          <w:rFonts w:ascii="Tahoma" w:hAnsi="Tahoma" w:cs="Tahoma"/>
          <w:sz w:val="18"/>
          <w:szCs w:val="18"/>
          <w:lang w:val="sr-Cyrl-RS"/>
        </w:rPr>
      </w:pPr>
    </w:p>
    <w:p w14:paraId="4C088940" w14:textId="77777777" w:rsidR="00C27AD1" w:rsidRDefault="00C27AD1">
      <w:pPr>
        <w:jc w:val="both"/>
        <w:textAlignment w:val="center"/>
      </w:pPr>
      <w:r>
        <w:rPr>
          <w:rFonts w:ascii="Tahoma" w:hAnsi="Tahoma" w:cs="Tahoma"/>
          <w:sz w:val="18"/>
          <w:szCs w:val="18"/>
          <w:lang w:val="sr-Cyrl-RS"/>
        </w:rPr>
        <w:t>Извор: ДевИнфо база – профили општина, Републичког завода за статистику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7E863AE2" w14:textId="77777777" w:rsidR="00C27AD1" w:rsidRDefault="00C27AD1">
      <w:pPr>
        <w:spacing w:after="160" w:line="259" w:lineRule="auto"/>
        <w:jc w:val="both"/>
        <w:textAlignment w:val="center"/>
        <w:rPr>
          <w:rFonts w:ascii="Tahoma" w:hAnsi="Tahoma" w:cs="Tahoma"/>
          <w:sz w:val="10"/>
          <w:szCs w:val="10"/>
          <w:lang w:val="sr-Cyrl-RS"/>
        </w:rPr>
      </w:pPr>
    </w:p>
    <w:p w14:paraId="7E8DD9BF" w14:textId="77777777" w:rsidR="00C27AD1" w:rsidRDefault="00C27AD1">
      <w:pPr>
        <w:spacing w:after="240"/>
        <w:jc w:val="both"/>
        <w:textAlignment w:val="center"/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Просечан број ученика у основним школама је релативно висок</w:t>
      </w:r>
      <w:r>
        <w:rPr>
          <w:rFonts w:ascii="Tahoma" w:hAnsi="Tahoma" w:cs="Tahoma"/>
          <w:color w:val="2F5496"/>
          <w:sz w:val="22"/>
          <w:szCs w:val="22"/>
          <w:lang w:val="sr-Cyrl-RS"/>
        </w:rPr>
        <w:t>.</w:t>
      </w:r>
      <w:r>
        <w:rPr>
          <w:rFonts w:ascii="Tahoma" w:hAnsi="Tahoma" w:cs="Tahoma"/>
          <w:sz w:val="22"/>
          <w:szCs w:val="22"/>
          <w:lang w:val="sr-Cyrl-RS"/>
        </w:rPr>
        <w:t xml:space="preserve"> Просек у подручним школама је и на нивоу читаве Србије врло низак што је очекивано имајући у виду да се подручна одељења типично налазе у ванградским насељима, али је тај просек у Мачванској области укључујући и Крупањ нешто виши (Табела 4). Ово посебно важи за </w:t>
      </w:r>
      <w:r>
        <w:rPr>
          <w:rFonts w:ascii="Tahoma" w:hAnsi="Tahoma" w:cs="Tahoma"/>
          <w:sz w:val="22"/>
          <w:szCs w:val="22"/>
          <w:lang w:val="sr-Cyrl-RS"/>
        </w:rPr>
        <w:lastRenderedPageBreak/>
        <w:t>више разреде подручних одељења у којима је стварни просек много виши обзиром да су овде подаци за просек свих подручних објеката од којих многа и немају осмогодишње разреде.</w:t>
      </w:r>
    </w:p>
    <w:p w14:paraId="22E77916" w14:textId="77777777" w:rsidR="00C27AD1" w:rsidRDefault="00C27AD1">
      <w:pPr>
        <w:spacing w:line="259" w:lineRule="auto"/>
        <w:rPr>
          <w:rFonts w:ascii="Tahoma" w:hAnsi="Tahoma" w:cs="Tahoma"/>
          <w:sz w:val="10"/>
          <w:szCs w:val="10"/>
          <w:lang w:val="sr-Cyrl-RS"/>
        </w:rPr>
      </w:pPr>
    </w:p>
    <w:p w14:paraId="251D0ED8" w14:textId="77777777" w:rsidR="00C27AD1" w:rsidRDefault="00C27AD1">
      <w:pPr>
        <w:spacing w:after="80" w:line="259" w:lineRule="auto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>Taбелa 4. Просечан број ученика у школама у 2021. години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9"/>
        <w:gridCol w:w="1366"/>
        <w:gridCol w:w="1812"/>
        <w:gridCol w:w="1348"/>
      </w:tblGrid>
      <w:tr w:rsidR="00C27AD1" w14:paraId="2ADE672B" w14:textId="77777777">
        <w:tc>
          <w:tcPr>
            <w:tcW w:w="43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F5496"/>
          </w:tcPr>
          <w:p w14:paraId="66CF43BE" w14:textId="77777777" w:rsidR="00C27AD1" w:rsidRDefault="00C27AD1">
            <w:pPr>
              <w:rPr>
                <w:rFonts w:ascii="Tahoma" w:hAnsi="Tahoma" w:cs="Tahoma"/>
                <w:b/>
                <w:bCs/>
                <w:color w:val="FFFFFF"/>
                <w:sz w:val="22"/>
                <w:szCs w:val="22"/>
                <w:lang w:val="sr-Cyrl-RS"/>
              </w:rPr>
            </w:pP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3866B09B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2"/>
                <w:szCs w:val="22"/>
                <w:lang w:val="sr-Cyrl-RS"/>
              </w:rPr>
              <w:t>Крупањ</w:t>
            </w:r>
          </w:p>
        </w:tc>
        <w:tc>
          <w:tcPr>
            <w:tcW w:w="1812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56920951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2"/>
                <w:szCs w:val="22"/>
                <w:lang w:val="sr-Cyrl-RS"/>
              </w:rPr>
              <w:t>Мачванска  област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2F5496"/>
            <w:vAlign w:val="center"/>
          </w:tcPr>
          <w:p w14:paraId="3B7C4E8E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color w:val="FFFFFF"/>
                <w:sz w:val="22"/>
                <w:szCs w:val="22"/>
                <w:lang w:val="sr-Cyrl-RS"/>
              </w:rPr>
              <w:t>Србијa - Југ</w:t>
            </w:r>
          </w:p>
        </w:tc>
      </w:tr>
      <w:tr w:rsidR="00C27AD1" w14:paraId="38F9BCBB" w14:textId="77777777">
        <w:tc>
          <w:tcPr>
            <w:tcW w:w="43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8EAADB"/>
          </w:tcPr>
          <w:p w14:paraId="31289E56" w14:textId="77777777" w:rsidR="00C27AD1" w:rsidRDefault="00C27AD1">
            <w:pPr>
              <w:rPr>
                <w:rFonts w:ascii="Tahoma" w:hAnsi="Tahoma" w:cs="Tahoma"/>
                <w:b/>
                <w:bCs/>
                <w:color w:val="FFFFFF"/>
                <w:sz w:val="22"/>
                <w:szCs w:val="22"/>
                <w:lang w:val="sr-Cyrl-RS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8EAADB"/>
            <w:vAlign w:val="center"/>
          </w:tcPr>
          <w:p w14:paraId="7E4F082E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color w:val="1F3864"/>
                <w:sz w:val="22"/>
                <w:szCs w:val="22"/>
                <w:lang w:val="sr-Cyrl-RS"/>
              </w:rPr>
              <w:t>Матичне школе</w:t>
            </w:r>
          </w:p>
        </w:tc>
      </w:tr>
      <w:tr w:rsidR="00C27AD1" w14:paraId="307EE537" w14:textId="77777777">
        <w:tc>
          <w:tcPr>
            <w:tcW w:w="43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D9E2F3"/>
          </w:tcPr>
          <w:p w14:paraId="5FCA1AB0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2"/>
                <w:szCs w:val="22"/>
                <w:lang w:val="sr-Cyrl-RS"/>
              </w:rPr>
              <w:t>Нижи разреди I-IV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676EBA16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144.5</w:t>
            </w:r>
          </w:p>
        </w:tc>
        <w:tc>
          <w:tcPr>
            <w:tcW w:w="18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1DE5CA44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148.56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138D583D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153.79</w:t>
            </w:r>
          </w:p>
        </w:tc>
      </w:tr>
      <w:tr w:rsidR="00C27AD1" w14:paraId="5A1327F6" w14:textId="77777777">
        <w:tc>
          <w:tcPr>
            <w:tcW w:w="43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B4C6E7"/>
          </w:tcPr>
          <w:p w14:paraId="0F2C4CA5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2"/>
                <w:szCs w:val="22"/>
                <w:lang w:val="sr-Cyrl-RS"/>
              </w:rPr>
              <w:t>Виши разреди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31850B5E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184.5</w:t>
            </w:r>
          </w:p>
        </w:tc>
        <w:tc>
          <w:tcPr>
            <w:tcW w:w="18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5811DC2E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191.14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4038B20B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185.04</w:t>
            </w:r>
          </w:p>
        </w:tc>
      </w:tr>
      <w:tr w:rsidR="00C27AD1" w14:paraId="422A67B6" w14:textId="77777777">
        <w:tc>
          <w:tcPr>
            <w:tcW w:w="43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8EAADB"/>
          </w:tcPr>
          <w:p w14:paraId="2BF0EBA6" w14:textId="77777777" w:rsidR="00C27AD1" w:rsidRDefault="00C27AD1">
            <w:pPr>
              <w:rPr>
                <w:rFonts w:ascii="Tahoma" w:hAnsi="Tahoma" w:cs="Tahoma"/>
                <w:b/>
                <w:bCs/>
                <w:color w:val="FFFFFF"/>
                <w:sz w:val="22"/>
                <w:szCs w:val="22"/>
                <w:lang w:val="sr-Cyrl-RS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8EAADB"/>
            <w:vAlign w:val="center"/>
          </w:tcPr>
          <w:p w14:paraId="548D0CA1" w14:textId="77777777" w:rsidR="00C27AD1" w:rsidRDefault="00C27AD1">
            <w:pPr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color w:val="1F3864"/>
                <w:sz w:val="22"/>
                <w:szCs w:val="22"/>
                <w:lang w:val="sr-Cyrl-RS"/>
              </w:rPr>
              <w:t>Подручне школе</w:t>
            </w:r>
          </w:p>
        </w:tc>
      </w:tr>
      <w:tr w:rsidR="00C27AD1" w14:paraId="41FE9CF5" w14:textId="77777777">
        <w:tc>
          <w:tcPr>
            <w:tcW w:w="43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D9E2F3"/>
          </w:tcPr>
          <w:p w14:paraId="6FD9882E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2"/>
                <w:szCs w:val="22"/>
                <w:lang w:val="sr-Cyrl-RS"/>
              </w:rPr>
              <w:t>Нижи разреди I-IV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vAlign w:val="center"/>
          </w:tcPr>
          <w:p w14:paraId="074A4F77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14.27</w:t>
            </w:r>
          </w:p>
        </w:tc>
        <w:tc>
          <w:tcPr>
            <w:tcW w:w="18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48D73A5B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22.01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</w:tcPr>
          <w:p w14:paraId="03E6A2C2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14.06</w:t>
            </w:r>
          </w:p>
        </w:tc>
      </w:tr>
      <w:tr w:rsidR="00C27AD1" w14:paraId="4F6ADCA4" w14:textId="77777777">
        <w:tc>
          <w:tcPr>
            <w:tcW w:w="43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B4C6E7"/>
          </w:tcPr>
          <w:p w14:paraId="5FD82A7C" w14:textId="77777777" w:rsidR="00C27AD1" w:rsidRDefault="00C27AD1">
            <w:r>
              <w:rPr>
                <w:rFonts w:ascii="Tahoma" w:hAnsi="Tahoma" w:cs="Tahoma"/>
                <w:b/>
                <w:bCs/>
                <w:color w:val="1F3864"/>
                <w:sz w:val="22"/>
                <w:szCs w:val="22"/>
                <w:lang w:val="sr-Cyrl-RS"/>
              </w:rPr>
              <w:t>Виши разреди V-VIII</w:t>
            </w:r>
          </w:p>
        </w:tc>
        <w:tc>
          <w:tcPr>
            <w:tcW w:w="13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  <w:vAlign w:val="center"/>
          </w:tcPr>
          <w:p w14:paraId="02E2BBD4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9.67</w:t>
            </w:r>
          </w:p>
        </w:tc>
        <w:tc>
          <w:tcPr>
            <w:tcW w:w="18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4F4C7341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13.83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4C6E7"/>
          </w:tcPr>
          <w:p w14:paraId="42EE6A25" w14:textId="77777777" w:rsidR="00C27AD1" w:rsidRDefault="00C27AD1">
            <w:pPr>
              <w:jc w:val="right"/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6.39</w:t>
            </w:r>
          </w:p>
        </w:tc>
      </w:tr>
    </w:tbl>
    <w:p w14:paraId="519F5931" w14:textId="77777777" w:rsidR="00C27AD1" w:rsidRDefault="00C27AD1">
      <w:pPr>
        <w:spacing w:before="40"/>
        <w:jc w:val="both"/>
        <w:textAlignment w:val="center"/>
      </w:pPr>
      <w:r>
        <w:rPr>
          <w:rFonts w:ascii="Tahoma" w:hAnsi="Tahoma" w:cs="Tahoma"/>
          <w:sz w:val="18"/>
          <w:szCs w:val="18"/>
          <w:lang w:val="sr-Cyrl-RS"/>
        </w:rPr>
        <w:t>Извор: ДевИнфо база – профили општина, Републичког завода за статистику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692D8FEE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13F78337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Нето стопа обухвата основним образовањем је врло висока</w:t>
      </w:r>
      <w:r>
        <w:rPr>
          <w:rFonts w:ascii="Tahoma" w:hAnsi="Tahoma" w:cs="Tahoma"/>
          <w:sz w:val="22"/>
          <w:szCs w:val="22"/>
          <w:lang w:val="sr-Cyrl-RS"/>
        </w:rPr>
        <w:t>. Посматрајући десетогодишњи период и поред годишњих флуктуација приметна је виша стопа у односу и на просек подручја Србија-Југ и на просек за Мачванску област и оно што је најинтересантније, Крупањ је једина општина у којој није приметан пад стопе</w:t>
      </w:r>
      <w:r>
        <w:rPr>
          <w:rStyle w:val="FootnoteCharacters"/>
          <w:rFonts w:ascii="Tahoma" w:hAnsi="Tahoma" w:cs="Tahoma"/>
          <w:sz w:val="22"/>
          <w:szCs w:val="22"/>
          <w:lang w:val="sr-Cyrl-RS"/>
        </w:rPr>
        <w:footnoteReference w:id="17"/>
      </w:r>
      <w:r>
        <w:rPr>
          <w:rFonts w:ascii="Tahoma" w:hAnsi="Tahoma" w:cs="Tahoma"/>
          <w:sz w:val="22"/>
          <w:szCs w:val="22"/>
          <w:lang w:val="sr-Cyrl-RS"/>
        </w:rPr>
        <w:t xml:space="preserve">.  </w:t>
      </w:r>
    </w:p>
    <w:p w14:paraId="1971A216" w14:textId="77777777" w:rsidR="00C27AD1" w:rsidRDefault="00C27AD1">
      <w:pPr>
        <w:spacing w:line="259" w:lineRule="auto"/>
        <w:rPr>
          <w:rFonts w:ascii="Tahoma" w:hAnsi="Tahoma" w:cs="Tahoma"/>
          <w:b/>
          <w:sz w:val="10"/>
          <w:szCs w:val="10"/>
          <w:lang w:val="sr-Cyrl-RS"/>
        </w:rPr>
      </w:pPr>
    </w:p>
    <w:p w14:paraId="3763D5F2" w14:textId="77777777" w:rsidR="00C27AD1" w:rsidRDefault="00C27AD1">
      <w:pPr>
        <w:spacing w:after="80" w:line="259" w:lineRule="auto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>Графикон 5. Нето стопа обухвата основним образовањем (у %), за период 2010-2020.</w:t>
      </w:r>
    </w:p>
    <w:p w14:paraId="0C138859" w14:textId="77777777" w:rsidR="00C27AD1" w:rsidRDefault="00C27AD1">
      <w:pPr>
        <w:spacing w:after="80" w:line="259" w:lineRule="auto"/>
        <w:rPr>
          <w:rFonts w:ascii="Tahoma" w:hAnsi="Tahoma" w:cs="Tahoma"/>
          <w:bCs/>
          <w:color w:val="2F5496"/>
          <w:sz w:val="22"/>
          <w:szCs w:val="22"/>
          <w:lang w:val="sr-Cyrl-RS"/>
        </w:rPr>
      </w:pPr>
    </w:p>
    <w:p w14:paraId="6462733B" w14:textId="77777777" w:rsidR="00C27AD1" w:rsidRDefault="00665D6D">
      <w:pPr>
        <w:jc w:val="center"/>
        <w:rPr>
          <w:rFonts w:ascii="Tahoma" w:hAnsi="Tahoma" w:cs="Tahoma"/>
          <w:sz w:val="18"/>
          <w:szCs w:val="18"/>
          <w:lang w:val="sr-Cyrl-RS"/>
        </w:rPr>
      </w:pPr>
      <w:r>
        <w:rPr>
          <w:noProof/>
        </w:rPr>
        <w:pict w14:anchorId="6B40DA33">
          <v:shape id="_x0000_i1028" type="#_x0000_t75" alt="" style="width:5in;height:208.9pt;mso-width-percent:0;mso-height-percent:0;mso-width-percent:0;mso-height-percent:0" filled="t">
            <v:fill color2="black"/>
            <v:imagedata r:id="rId13" o:title=""/>
          </v:shape>
        </w:pict>
      </w:r>
    </w:p>
    <w:p w14:paraId="2FEB816A" w14:textId="77777777" w:rsidR="00C27AD1" w:rsidRDefault="00C27AD1">
      <w:pPr>
        <w:spacing w:before="80"/>
        <w:rPr>
          <w:rFonts w:ascii="Tahoma" w:hAnsi="Tahoma" w:cs="Tahoma"/>
          <w:sz w:val="18"/>
          <w:szCs w:val="18"/>
          <w:lang w:val="sr-Cyrl-RS"/>
        </w:rPr>
      </w:pPr>
    </w:p>
    <w:p w14:paraId="78D09752" w14:textId="77777777" w:rsidR="00C27AD1" w:rsidRDefault="00C27AD1">
      <w:pPr>
        <w:spacing w:before="80"/>
      </w:pPr>
      <w:r>
        <w:rPr>
          <w:rFonts w:ascii="Tahoma" w:hAnsi="Tahoma" w:cs="Tahoma"/>
          <w:sz w:val="18"/>
          <w:szCs w:val="18"/>
          <w:lang w:val="sr-Cyrl-RS"/>
        </w:rPr>
        <w:t>Извор: Републички завод за статистику, ДевИнфо база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754A207E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37CD7DC8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615F2CCF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b/>
          <w:color w:val="1F3864"/>
          <w:sz w:val="22"/>
          <w:szCs w:val="22"/>
          <w:lang w:val="sr-Cyrl-RS"/>
        </w:rPr>
        <w:t>Oквир 5: Индикатори основног/средњег образовања</w:t>
      </w:r>
    </w:p>
    <w:p w14:paraId="1B46E229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 xml:space="preserve">Индикатори за праћење образовања нису сасвим једноставни за разумевање и неки од њих могу бити збуњујући. На пример, стопа завршавања основне школе која је мана од 100% не значи да је дошло до одустајања од школовања већ да нису сва деца која су према узрасту требало да заврше школу то и и учинила. Дакле стопа завршавања школе и стопа одустајања од школовања се не сабирају до 100%. Доле су наведене тачне дефиниције индикатора које користимо у анализи. </w:t>
      </w:r>
    </w:p>
    <w:p w14:paraId="095EF406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Нето стопа обухвата основним образовањем - однос броја ученика старости 7-14 година уписаних у редовне основне школе и генерације деце предвиђене за похађање основног образовања (процењен број деце 7-14).</w:t>
      </w:r>
    </w:p>
    <w:p w14:paraId="1AC43557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Обухват деце средњим образовањем - однос броја ученика уписаних у средње школе и броја деце одговарајуће старосне групе (15-18) с тим што се овај податак не води за локални ниво.</w:t>
      </w:r>
    </w:p>
    <w:p w14:paraId="743F160E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Стопа завршавања основне/средње школе - однос укупног броја ученика који успешно заврше (положе) последњи разред основне школе без обзира на годиште и укупног броја деце из популације узраста за званични завршетак основне школе.</w:t>
      </w:r>
    </w:p>
    <w:p w14:paraId="333E13EB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Стопа одустајања од школовања у основном/средњем образовању представља разлику у броју ученика основних/средњих школа на почетку школске године и броја ученика на крају школске године у односу на број ученика на почетку школске године.</w:t>
      </w:r>
    </w:p>
    <w:p w14:paraId="6F8EE986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Вредности ових индикатора могу бити нелогични и неадекватни услед методолошких проблема везаних за њихово праћење како на националном, али посебно на локалном нивоу (види Оквир 2.)</w:t>
      </w:r>
    </w:p>
    <w:p w14:paraId="58A19AA3" w14:textId="77777777" w:rsidR="00C27AD1" w:rsidRDefault="00C27AD1">
      <w:pPr>
        <w:shd w:val="clear" w:color="auto" w:fill="D9E2F3"/>
        <w:spacing w:line="259" w:lineRule="auto"/>
        <w:jc w:val="both"/>
        <w:rPr>
          <w:rFonts w:ascii="Tahoma" w:hAnsi="Tahoma" w:cs="Tahoma"/>
          <w:b/>
          <w:sz w:val="10"/>
          <w:szCs w:val="10"/>
          <w:lang w:val="sr-Cyrl-RS"/>
        </w:rPr>
      </w:pPr>
    </w:p>
    <w:p w14:paraId="4AB63ADA" w14:textId="77777777" w:rsidR="00C27AD1" w:rsidRDefault="00C27AD1">
      <w:pPr>
        <w:spacing w:after="160" w:line="259" w:lineRule="auto"/>
        <w:jc w:val="both"/>
        <w:rPr>
          <w:rFonts w:ascii="Tahoma" w:hAnsi="Tahoma" w:cs="Tahoma"/>
          <w:b/>
          <w:color w:val="2F5496"/>
          <w:sz w:val="10"/>
          <w:szCs w:val="10"/>
          <w:lang w:val="sr-Cyrl-RS"/>
        </w:rPr>
      </w:pPr>
    </w:p>
    <w:p w14:paraId="4BFC9CA7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>Стопа одустајања од школовања у основном образовању је ниска.</w:t>
      </w:r>
      <w:r>
        <w:rPr>
          <w:rFonts w:ascii="Tahoma" w:hAnsi="Tahoma" w:cs="Tahoma"/>
          <w:sz w:val="22"/>
          <w:szCs w:val="22"/>
          <w:lang w:val="sr-Cyrl-RS"/>
        </w:rPr>
        <w:t xml:space="preserve"> Иако подаци на општинском нивоу флуктуирају, јасно се види да је осипање из основног школовања у Крупњу на врло ниском нивоу. </w:t>
      </w:r>
    </w:p>
    <w:p w14:paraId="35129C3E" w14:textId="77777777" w:rsidR="00C27AD1" w:rsidRDefault="00C27AD1">
      <w:pPr>
        <w:spacing w:line="259" w:lineRule="auto"/>
        <w:rPr>
          <w:rFonts w:ascii="Tahoma" w:hAnsi="Tahoma" w:cs="Tahoma"/>
          <w:b/>
          <w:sz w:val="10"/>
          <w:szCs w:val="10"/>
          <w:lang w:val="sr-Cyrl-RS"/>
        </w:rPr>
      </w:pPr>
    </w:p>
    <w:p w14:paraId="2600CDBE" w14:textId="77777777" w:rsidR="00C27AD1" w:rsidRDefault="00C27AD1">
      <w:pPr>
        <w:rPr>
          <w:rFonts w:ascii="Tahoma" w:hAnsi="Tahoma" w:cs="Tahoma"/>
          <w:bCs/>
          <w:color w:val="2F5496"/>
          <w:sz w:val="22"/>
          <w:szCs w:val="22"/>
          <w:lang w:val="sr-Cyrl-RS"/>
        </w:rPr>
      </w:pPr>
    </w:p>
    <w:p w14:paraId="07E1B5FD" w14:textId="77777777" w:rsidR="00C27AD1" w:rsidRDefault="00C27AD1">
      <w:pPr>
        <w:pageBreakBefore/>
        <w:spacing w:after="80" w:line="259" w:lineRule="auto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lastRenderedPageBreak/>
        <w:t>Графикон 6. Стопа одустања од школовања у основном образовању (у %), за период 2010-2020.</w:t>
      </w:r>
    </w:p>
    <w:p w14:paraId="790F54B8" w14:textId="77777777" w:rsidR="00C27AD1" w:rsidRDefault="00665D6D">
      <w:pPr>
        <w:jc w:val="center"/>
        <w:rPr>
          <w:rFonts w:ascii="Tahoma" w:hAnsi="Tahoma" w:cs="Tahoma"/>
          <w:sz w:val="18"/>
          <w:szCs w:val="18"/>
          <w:lang w:val="sr-Cyrl-RS"/>
        </w:rPr>
      </w:pPr>
      <w:r>
        <w:rPr>
          <w:noProof/>
        </w:rPr>
        <w:pict w14:anchorId="3E8D194D">
          <v:shape id="_x0000_i1027" type="#_x0000_t75" alt="" style="width:467.6pt;height:245.25pt;mso-width-percent:0;mso-height-percent:0;mso-width-percent:0;mso-height-percent:0" filled="t">
            <v:fill color2="black"/>
            <v:imagedata r:id="rId14" o:title=""/>
          </v:shape>
        </w:pict>
      </w:r>
    </w:p>
    <w:p w14:paraId="5C31FE51" w14:textId="77777777" w:rsidR="00C27AD1" w:rsidRDefault="00C27AD1">
      <w:r>
        <w:rPr>
          <w:rFonts w:ascii="Tahoma" w:hAnsi="Tahoma" w:cs="Tahoma"/>
          <w:sz w:val="18"/>
          <w:szCs w:val="18"/>
          <w:lang w:val="sr-Cyrl-RS"/>
        </w:rPr>
        <w:t>Извор: Републички завод за статистику, ДевИнфо база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04F663CA" w14:textId="77777777" w:rsidR="00C27AD1" w:rsidRDefault="00C27AD1">
      <w:pPr>
        <w:spacing w:after="240"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7B5EE13F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 xml:space="preserve">Стопа завршавања основне школе износи у просеку преко 98% за трогодишњи период </w:t>
      </w:r>
      <w:r>
        <w:rPr>
          <w:rFonts w:ascii="Tahoma" w:hAnsi="Tahoma" w:cs="Tahoma"/>
          <w:sz w:val="22"/>
          <w:szCs w:val="22"/>
          <w:lang w:val="sr-Cyrl-RS"/>
        </w:rPr>
        <w:t xml:space="preserve">што је више и од просека за подручје Србија-Југ и од просека Мачванске области. Подаци на годишњем нивоу изразито флуктуирају па је стога анализиран трогодишњи просек. </w:t>
      </w:r>
    </w:p>
    <w:p w14:paraId="01F415D1" w14:textId="77777777" w:rsidR="00C27AD1" w:rsidRDefault="00C27AD1">
      <w:pPr>
        <w:spacing w:line="259" w:lineRule="auto"/>
        <w:rPr>
          <w:rFonts w:ascii="Tahoma" w:hAnsi="Tahoma" w:cs="Tahoma"/>
          <w:b/>
          <w:smallCaps/>
          <w:sz w:val="8"/>
          <w:szCs w:val="8"/>
          <w:lang w:val="sr-Cyrl-RS"/>
        </w:rPr>
      </w:pPr>
    </w:p>
    <w:p w14:paraId="0BF5A402" w14:textId="77777777" w:rsidR="00C27AD1" w:rsidRDefault="00C27AD1">
      <w:pPr>
        <w:spacing w:after="80" w:line="259" w:lineRule="auto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 xml:space="preserve">Графикон 7. Стопа завршавања основне школе (у %), трогодишњи просек за период 2018-2020. </w:t>
      </w:r>
    </w:p>
    <w:p w14:paraId="69A1933A" w14:textId="77777777" w:rsidR="00C27AD1" w:rsidRDefault="00665D6D">
      <w:pPr>
        <w:jc w:val="center"/>
        <w:rPr>
          <w:rFonts w:ascii="Tahoma" w:hAnsi="Tahoma" w:cs="Tahoma"/>
          <w:sz w:val="18"/>
          <w:szCs w:val="18"/>
          <w:lang w:val="sr-Cyrl-RS"/>
        </w:rPr>
      </w:pPr>
      <w:r>
        <w:rPr>
          <w:noProof/>
        </w:rPr>
        <w:pict w14:anchorId="01FD2978">
          <v:shape id="_x0000_i1026" type="#_x0000_t75" alt="" style="width:332.3pt;height:166.95pt;mso-width-percent:0;mso-height-percent:0;mso-width-percent:0;mso-height-percent:0" filled="t">
            <v:fill color2="black"/>
            <v:imagedata r:id="rId15" o:title=""/>
          </v:shape>
        </w:pict>
      </w:r>
    </w:p>
    <w:p w14:paraId="769A193C" w14:textId="77777777" w:rsidR="00C27AD1" w:rsidRDefault="00C27AD1">
      <w:pPr>
        <w:rPr>
          <w:rFonts w:ascii="Tahoma" w:hAnsi="Tahoma" w:cs="Tahoma"/>
          <w:sz w:val="18"/>
          <w:szCs w:val="18"/>
          <w:lang w:val="sr-Cyrl-RS"/>
        </w:rPr>
      </w:pPr>
    </w:p>
    <w:p w14:paraId="10C70969" w14:textId="77777777" w:rsidR="00C27AD1" w:rsidRDefault="00C27AD1">
      <w:r>
        <w:rPr>
          <w:rFonts w:ascii="Tahoma" w:hAnsi="Tahoma" w:cs="Tahoma"/>
          <w:sz w:val="18"/>
          <w:szCs w:val="18"/>
          <w:lang w:val="sr-Cyrl-RS"/>
        </w:rPr>
        <w:t>Извор: Републички завод за статистику, ДевИнфо база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3EC0C94D" w14:textId="77777777" w:rsidR="00C27AD1" w:rsidRDefault="00C27AD1">
      <w:pPr>
        <w:spacing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04F765BE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2206EA8A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7E6072AA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551BEF59" w14:textId="77777777" w:rsidR="00C27AD1" w:rsidRDefault="00C27AD1">
      <w:r>
        <w:rPr>
          <w:rFonts w:ascii="Tahoma" w:hAnsi="Tahoma" w:cs="Tahoma"/>
          <w:b/>
          <w:bCs/>
          <w:color w:val="2F5496"/>
          <w:lang w:val="sr-Cyrl-RS"/>
        </w:rPr>
        <w:t xml:space="preserve">Средње образовање </w:t>
      </w:r>
    </w:p>
    <w:p w14:paraId="2BBA1275" w14:textId="77777777" w:rsidR="00C27AD1" w:rsidRDefault="00C27AD1">
      <w:pPr>
        <w:spacing w:after="160"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1C62E647" w14:textId="77777777" w:rsidR="00C27AD1" w:rsidRDefault="00C27AD1">
      <w:pPr>
        <w:shd w:val="clear" w:color="auto" w:fill="D9E2F3"/>
        <w:spacing w:after="160" w:line="259" w:lineRule="auto"/>
      </w:pPr>
      <w:r>
        <w:rPr>
          <w:rFonts w:ascii="Tahoma" w:hAnsi="Tahoma" w:cs="Tahoma"/>
          <w:b/>
          <w:color w:val="1F3864"/>
          <w:sz w:val="22"/>
          <w:szCs w:val="22"/>
          <w:lang w:val="sr-Cyrl-RS"/>
        </w:rPr>
        <w:t xml:space="preserve">Оквир 6. Стратешки правци у средњошколском образовању </w:t>
      </w:r>
    </w:p>
    <w:p w14:paraId="1928E81E" w14:textId="77777777" w:rsidR="00C27AD1" w:rsidRDefault="00C27AD1">
      <w:pPr>
        <w:shd w:val="clear" w:color="auto" w:fill="D9E2F3"/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Према Стратегији образовања до 2030. обезбеђивање услова за увођење обавезног средњег образовања и васпитања се може сматрати једним од кључних приоритета. Оптимизација мреже средњих школа, која је у току, треба да буде убрзана а капацитети локалних самоуправа за планирање уписа засновани на донетим критеријумима треба да буду ојачани.</w:t>
      </w:r>
    </w:p>
    <w:p w14:paraId="515D94D3" w14:textId="77777777" w:rsidR="00C27AD1" w:rsidRDefault="00C27AD1">
      <w:pPr>
        <w:shd w:val="clear" w:color="auto" w:fill="D9E2F3"/>
        <w:spacing w:line="259" w:lineRule="auto"/>
        <w:jc w:val="both"/>
        <w:rPr>
          <w:rFonts w:ascii="Tahoma" w:hAnsi="Tahoma" w:cs="Tahoma"/>
          <w:sz w:val="10"/>
          <w:szCs w:val="10"/>
          <w:lang w:val="sr-Cyrl-RS"/>
        </w:rPr>
      </w:pPr>
    </w:p>
    <w:p w14:paraId="0E2338E6" w14:textId="77777777" w:rsidR="00C27AD1" w:rsidRDefault="00C27AD1">
      <w:pPr>
        <w:spacing w:after="160" w:line="259" w:lineRule="auto"/>
        <w:rPr>
          <w:rFonts w:ascii="Tahoma" w:hAnsi="Tahoma" w:cs="Tahoma"/>
          <w:b/>
          <w:sz w:val="10"/>
          <w:szCs w:val="10"/>
          <w:lang w:val="sr-Cyrl-RS"/>
        </w:rPr>
      </w:pPr>
    </w:p>
    <w:p w14:paraId="784A85A6" w14:textId="52B848D9" w:rsidR="00C27AD1" w:rsidRPr="008C1718" w:rsidRDefault="00C27AD1">
      <w:pPr>
        <w:spacing w:after="160" w:line="259" w:lineRule="auto"/>
        <w:jc w:val="both"/>
        <w:rPr>
          <w:lang w:val="sr-Cyrl-RS"/>
        </w:rPr>
      </w:pPr>
      <w:r>
        <w:rPr>
          <w:rFonts w:ascii="Tahoma" w:hAnsi="Tahoma" w:cs="Tahoma"/>
          <w:b/>
          <w:color w:val="2F5496"/>
          <w:sz w:val="22"/>
          <w:szCs w:val="22"/>
          <w:lang w:val="sr-Cyrl-RS"/>
        </w:rPr>
        <w:t xml:space="preserve">У Крупњу се налази једна средња школа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која има и трогодишње и четворогодишње профиле из подручја рада: гимназија, електротехника, машинство и обрада метала.</w:t>
      </w:r>
      <w:r w:rsidR="008C1718">
        <w:rPr>
          <w:rFonts w:ascii="Tahoma" w:hAnsi="Tahoma" w:cs="Tahoma"/>
          <w:color w:val="000000"/>
          <w:sz w:val="22"/>
          <w:szCs w:val="22"/>
        </w:rPr>
        <w:t xml:space="preserve"> </w:t>
      </w:r>
      <w:r w:rsidR="008C1718">
        <w:rPr>
          <w:rFonts w:ascii="Tahoma" w:hAnsi="Tahoma" w:cs="Tahoma"/>
          <w:color w:val="000000"/>
          <w:sz w:val="22"/>
          <w:szCs w:val="22"/>
          <w:lang w:val="sr-Cyrl-RS"/>
        </w:rPr>
        <w:t>Постоји и смер</w:t>
      </w:r>
      <w:r w:rsidR="008C1718" w:rsidRPr="008C1718">
        <w:rPr>
          <w:rFonts w:ascii="Tahoma" w:hAnsi="Tahoma" w:cs="Tahoma"/>
          <w:color w:val="000000"/>
          <w:sz w:val="22"/>
          <w:szCs w:val="22"/>
          <w:lang w:val="sr-Cyrl-RS"/>
        </w:rPr>
        <w:t xml:space="preserve"> економски техничар</w:t>
      </w:r>
      <w:r w:rsidR="008C1718">
        <w:rPr>
          <w:rFonts w:ascii="Tahoma" w:hAnsi="Tahoma" w:cs="Tahoma"/>
          <w:color w:val="000000"/>
          <w:sz w:val="22"/>
          <w:szCs w:val="22"/>
          <w:lang w:val="sr-Cyrl-RS"/>
        </w:rPr>
        <w:t xml:space="preserve"> за који</w:t>
      </w:r>
      <w:r w:rsidR="008C1718" w:rsidRPr="008C1718">
        <w:rPr>
          <w:rFonts w:ascii="Tahoma" w:hAnsi="Tahoma" w:cs="Tahoma"/>
          <w:color w:val="000000"/>
          <w:sz w:val="22"/>
          <w:szCs w:val="22"/>
          <w:lang w:val="sr-Cyrl-RS"/>
        </w:rPr>
        <w:t xml:space="preserve"> </w:t>
      </w:r>
      <w:r w:rsidR="008C1718">
        <w:rPr>
          <w:rFonts w:ascii="Tahoma" w:hAnsi="Tahoma" w:cs="Tahoma"/>
          <w:color w:val="000000"/>
          <w:sz w:val="22"/>
          <w:szCs w:val="22"/>
          <w:lang w:val="sr-Cyrl-RS"/>
        </w:rPr>
        <w:t xml:space="preserve">школске 2022/23 </w:t>
      </w:r>
      <w:r w:rsidR="008C1718" w:rsidRPr="008C1718">
        <w:rPr>
          <w:rFonts w:ascii="Tahoma" w:hAnsi="Tahoma" w:cs="Tahoma"/>
          <w:color w:val="000000"/>
          <w:sz w:val="22"/>
          <w:szCs w:val="22"/>
          <w:lang w:val="sr-Cyrl-RS"/>
        </w:rPr>
        <w:t xml:space="preserve">године није </w:t>
      </w:r>
      <w:r w:rsidR="008C1718">
        <w:rPr>
          <w:rFonts w:ascii="Tahoma" w:hAnsi="Tahoma" w:cs="Tahoma"/>
          <w:color w:val="000000"/>
          <w:sz w:val="22"/>
          <w:szCs w:val="22"/>
          <w:lang w:val="sr-Cyrl-RS"/>
        </w:rPr>
        <w:t xml:space="preserve">био </w:t>
      </w:r>
      <w:r w:rsidR="008C1718" w:rsidRPr="008C1718">
        <w:rPr>
          <w:rFonts w:ascii="Tahoma" w:hAnsi="Tahoma" w:cs="Tahoma"/>
          <w:color w:val="000000"/>
          <w:sz w:val="22"/>
          <w:szCs w:val="22"/>
          <w:lang w:val="sr-Cyrl-RS"/>
        </w:rPr>
        <w:t xml:space="preserve">одобрен упис, али </w:t>
      </w:r>
      <w:r w:rsidR="008C1718">
        <w:rPr>
          <w:rFonts w:ascii="Tahoma" w:hAnsi="Tahoma" w:cs="Tahoma"/>
          <w:color w:val="000000"/>
          <w:sz w:val="22"/>
          <w:szCs w:val="22"/>
          <w:lang w:val="sr-Cyrl-RS"/>
        </w:rPr>
        <w:t xml:space="preserve">се </w:t>
      </w:r>
      <w:r w:rsidR="008C1718" w:rsidRPr="008C1718">
        <w:rPr>
          <w:rFonts w:ascii="Tahoma" w:hAnsi="Tahoma" w:cs="Tahoma"/>
          <w:color w:val="000000"/>
          <w:sz w:val="22"/>
          <w:szCs w:val="22"/>
          <w:lang w:val="sr-Cyrl-RS"/>
        </w:rPr>
        <w:t>већ од следеће године се планира наизменичан упис смера економски техничар и електротехничар рачунара.</w:t>
      </w:r>
    </w:p>
    <w:p w14:paraId="5DF6370D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>Стопа одустајања од школовања у средњем образовању веома флуктуира – у појединим годинама је изузетно висока док у већини година и нема осипања.</w:t>
      </w:r>
    </w:p>
    <w:p w14:paraId="49AAD067" w14:textId="77777777" w:rsidR="00C27AD1" w:rsidRDefault="00C27AD1">
      <w:pPr>
        <w:spacing w:line="259" w:lineRule="auto"/>
        <w:jc w:val="both"/>
        <w:rPr>
          <w:rFonts w:ascii="Tahoma" w:hAnsi="Tahoma" w:cs="Tahoma"/>
          <w:smallCaps/>
          <w:sz w:val="10"/>
          <w:szCs w:val="10"/>
          <w:lang w:val="sr-Cyrl-RS"/>
        </w:rPr>
      </w:pPr>
    </w:p>
    <w:p w14:paraId="3909E1BA" w14:textId="77777777" w:rsidR="00C27AD1" w:rsidRDefault="00C27AD1">
      <w:pPr>
        <w:spacing w:after="80" w:line="259" w:lineRule="auto"/>
      </w:pPr>
      <w:r>
        <w:rPr>
          <w:rFonts w:ascii="Tahoma" w:hAnsi="Tahoma" w:cs="Tahoma"/>
          <w:bCs/>
          <w:color w:val="2F5496"/>
          <w:sz w:val="22"/>
          <w:szCs w:val="22"/>
          <w:lang w:val="sr-Cyrl-RS"/>
        </w:rPr>
        <w:t>Графикон 8. Стопа одустајања од школовања у средњем образовању (у %), за период 2010-2020.</w:t>
      </w:r>
    </w:p>
    <w:p w14:paraId="4B255C09" w14:textId="77777777" w:rsidR="00C27AD1" w:rsidRDefault="00665D6D">
      <w:pPr>
        <w:jc w:val="center"/>
        <w:rPr>
          <w:rFonts w:ascii="Tahoma" w:hAnsi="Tahoma" w:cs="Tahoma"/>
          <w:sz w:val="18"/>
          <w:szCs w:val="18"/>
          <w:lang w:val="sr-Cyrl-RS"/>
        </w:rPr>
      </w:pPr>
      <w:r>
        <w:rPr>
          <w:noProof/>
        </w:rPr>
        <w:pict w14:anchorId="12729A1F">
          <v:shape id="_x0000_i1025" type="#_x0000_t75" alt="" style="width:467.6pt;height:257.15pt;mso-width-percent:0;mso-height-percent:0;mso-width-percent:0;mso-height-percent:0" filled="t">
            <v:fill color2="black"/>
            <v:imagedata r:id="rId16" o:title=""/>
          </v:shape>
        </w:pict>
      </w:r>
    </w:p>
    <w:p w14:paraId="432F70CD" w14:textId="1C82FBCB" w:rsidR="00C27AD1" w:rsidRPr="00367035" w:rsidRDefault="00C27AD1" w:rsidP="00367035">
      <w:r>
        <w:rPr>
          <w:rFonts w:ascii="Tahoma" w:hAnsi="Tahoma" w:cs="Tahoma"/>
          <w:sz w:val="18"/>
          <w:szCs w:val="18"/>
          <w:lang w:val="sr-Cyrl-RS"/>
        </w:rPr>
        <w:t xml:space="preserve">Извор: Републички завод за статистику, </w:t>
      </w:r>
      <w:proofErr w:type="spellStart"/>
      <w:r>
        <w:rPr>
          <w:rFonts w:ascii="Tahoma" w:hAnsi="Tahoma" w:cs="Tahoma"/>
          <w:sz w:val="18"/>
          <w:szCs w:val="18"/>
          <w:lang w:val="sr-Cyrl-RS"/>
        </w:rPr>
        <w:t>ДевИнфо</w:t>
      </w:r>
      <w:proofErr w:type="spellEnd"/>
      <w:r>
        <w:rPr>
          <w:rFonts w:ascii="Tahoma" w:hAnsi="Tahoma" w:cs="Tahoma"/>
          <w:sz w:val="18"/>
          <w:szCs w:val="18"/>
          <w:lang w:val="sr-Cyrl-RS"/>
        </w:rPr>
        <w:t xml:space="preserve"> база</w:t>
      </w:r>
      <w:r>
        <w:rPr>
          <w:rFonts w:ascii="Tahoma" w:eastAsia="Open Sans" w:hAnsi="Tahoma" w:cs="Tahoma"/>
          <w:sz w:val="18"/>
          <w:szCs w:val="18"/>
          <w:lang w:val="sr-Cyrl-RS"/>
        </w:rPr>
        <w:t>.</w:t>
      </w:r>
    </w:p>
    <w:p w14:paraId="0E074C5B" w14:textId="77777777" w:rsidR="00C27AD1" w:rsidRDefault="00C27AD1">
      <w:pPr>
        <w:pStyle w:val="Heading1"/>
        <w:spacing w:after="240"/>
      </w:pPr>
      <w:r>
        <w:rPr>
          <w:rFonts w:ascii="Tahoma" w:hAnsi="Tahoma" w:cs="Tahoma"/>
          <w:b/>
          <w:bCs/>
          <w:sz w:val="28"/>
          <w:szCs w:val="28"/>
          <w:lang w:val="sr-Cyrl-RS"/>
        </w:rPr>
        <w:lastRenderedPageBreak/>
        <w:t xml:space="preserve">Закључак и препоруке </w:t>
      </w:r>
    </w:p>
    <w:p w14:paraId="4908F768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color w:val="000000"/>
          <w:sz w:val="22"/>
          <w:szCs w:val="22"/>
          <w:lang w:val="sr-Cyrl-RS"/>
        </w:rPr>
        <w:t>Обухват деце предшколским образовањем и васпитањем у Крупњу се постепено повећавао у претходној деценији а посебно се примећује позитиван тренд од 2019. године. Обухват деце вртићког узраста је сада са преко 50-60% прилично висок док је обухват деце јасленог узраста и даље јако низак (иземђу 12% и 15%). Поређење трогодишњег просека показује да је обухват деце јасленог узраста низак не само у поређењу са подручјем Србија-Југ већ и Мачванском области у којој је обухват такође врло мали.</w:t>
      </w:r>
      <w:r>
        <w:rPr>
          <w:rFonts w:ascii="Tahoma" w:hAnsi="Tahoma" w:cs="Tahoma"/>
          <w:sz w:val="22"/>
          <w:szCs w:val="22"/>
          <w:lang w:val="sr-Cyrl-RS"/>
        </w:rPr>
        <w:t xml:space="preserve"> Обухват деце вртићког узраста је на нивоу обухвата у подручју Србија-Југ и значајно је виша од обухвата у Мачванској области, али је и даље много нижа од циљева за 2030. годину од 75%. Са друге стране обухват ППП-ом показује екстремно високе вредности од преко 100%, вероватно из методолошких разлога који укључују и појаву да деца из суседних општина похађају ППП</w:t>
      </w:r>
    </w:p>
    <w:p w14:paraId="78081B08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 xml:space="preserve">Предшколско васпитање и образовање је изворна надлежност ЈЛС где је она у потпуности одговорна како за финансирање тако и организацију рада. Стога су препоруке за повећање обухвата ПВО кључне. </w:t>
      </w:r>
    </w:p>
    <w:p w14:paraId="6A020255" w14:textId="018B89FD" w:rsidR="00C27AD1" w:rsidRPr="00367035" w:rsidRDefault="00C27A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Обзиром да </w:t>
      </w:r>
      <w:r w:rsidR="00367035">
        <w:rPr>
          <w:rFonts w:ascii="Tahoma" w:hAnsi="Tahoma" w:cs="Tahoma"/>
          <w:color w:val="000000"/>
          <w:sz w:val="22"/>
          <w:szCs w:val="22"/>
          <w:lang w:val="sr-Cyrl-RS"/>
        </w:rPr>
        <w:t xml:space="preserve">до скора није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постој</w:t>
      </w:r>
      <w:r w:rsidR="00367035">
        <w:rPr>
          <w:rFonts w:ascii="Tahoma" w:hAnsi="Tahoma" w:cs="Tahoma"/>
          <w:color w:val="000000"/>
          <w:sz w:val="22"/>
          <w:szCs w:val="22"/>
          <w:lang w:val="sr-Cyrl-RS"/>
        </w:rPr>
        <w:t>ала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исказана тражња која је већа од постојећих капацитета, у циљу даљег повећања обухвата пре свега је потребно радити на кампањи подизања свести о важности ПВО а у исто време понудити полудневне или друге флексибилне програме којима примарни циљ није чување деце већ васпитно образовна улога ПВО и укључивању деце у друштвену заједницу. </w:t>
      </w:r>
      <w:r>
        <w:rPr>
          <w:rFonts w:ascii="Tahoma" w:hAnsi="Tahoma" w:cs="Tahoma"/>
          <w:sz w:val="22"/>
          <w:szCs w:val="22"/>
          <w:lang w:val="sr-Cyrl-RS"/>
        </w:rPr>
        <w:t xml:space="preserve">Сада у понуди ПВО доминира класичан целодневни програма. Да би се у ПВО укључио што већи број деце, јер је у то у њиховом најбољем интересу, ЈЛС би требало да понуди кратке програме од по неколико сати или неколико пута недељно. Овакве програме, посебно ако не подразумевају оброке, би требало у потпуности да финансира ЈЛС. На потребу за кратким програмима указује и структура деце у ППП где видимо да је већина деце у полудневном ППП.  </w:t>
      </w:r>
    </w:p>
    <w:p w14:paraId="6A205D9A" w14:textId="77777777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 xml:space="preserve">Подручне школе се могу користити као просторни капацитети за организацију краћих ПВО програма. То је капацитет у који ЈЛС свакако улаже и одржава га, па га треба и додатно користити. </w:t>
      </w:r>
    </w:p>
    <w:p w14:paraId="76B3DE45" w14:textId="6636D9C0" w:rsidR="00C27AD1" w:rsidRDefault="00C27AD1">
      <w:pPr>
        <w:spacing w:after="160" w:line="259" w:lineRule="auto"/>
        <w:jc w:val="both"/>
      </w:pPr>
      <w:r>
        <w:rPr>
          <w:rFonts w:ascii="Tahoma" w:hAnsi="Tahoma" w:cs="Tahoma"/>
          <w:sz w:val="22"/>
          <w:szCs w:val="22"/>
          <w:lang w:val="sr-Cyrl-RS"/>
        </w:rPr>
        <w:t xml:space="preserve">Такође, за општину у којој не постоји </w:t>
      </w:r>
      <w:r w:rsidR="00367035">
        <w:rPr>
          <w:rFonts w:ascii="Tahoma" w:hAnsi="Tahoma" w:cs="Tahoma"/>
          <w:sz w:val="22"/>
          <w:szCs w:val="22"/>
          <w:lang w:val="sr-Cyrl-RS"/>
        </w:rPr>
        <w:t xml:space="preserve">(велики) </w:t>
      </w:r>
      <w:bookmarkStart w:id="0" w:name="_GoBack"/>
      <w:bookmarkEnd w:id="0"/>
      <w:r>
        <w:rPr>
          <w:rFonts w:ascii="Tahoma" w:hAnsi="Tahoma" w:cs="Tahoma"/>
          <w:sz w:val="22"/>
          <w:szCs w:val="22"/>
          <w:lang w:val="sr-Cyrl-RS"/>
        </w:rPr>
        <w:t xml:space="preserve">мањак капацитета у односу на тражњу потребна је добра је политика регресирање партиципације родитеља и што више бесплатних програма. </w:t>
      </w:r>
    </w:p>
    <w:p w14:paraId="6D62EA89" w14:textId="77777777" w:rsidR="00C27AD1" w:rsidRDefault="00C27AD1">
      <w:pPr>
        <w:spacing w:after="160" w:line="259" w:lineRule="auto"/>
        <w:jc w:val="both"/>
      </w:pPr>
    </w:p>
    <w:sectPr w:rsidR="00C27AD1">
      <w:footerReference w:type="defaul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8CAA1" w14:textId="77777777" w:rsidR="00665D6D" w:rsidRDefault="00665D6D">
      <w:r>
        <w:separator/>
      </w:r>
    </w:p>
  </w:endnote>
  <w:endnote w:type="continuationSeparator" w:id="0">
    <w:p w14:paraId="3661AFFA" w14:textId="77777777" w:rsidR="00665D6D" w:rsidRDefault="0066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ont510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Calibri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FBD2E" w14:textId="77777777" w:rsidR="00C27AD1" w:rsidRDefault="00C27AD1">
    <w:pPr>
      <w:pStyle w:val="Footer"/>
      <w:jc w:val="right"/>
    </w:pPr>
    <w:r>
      <w:rPr>
        <w:rFonts w:ascii="Tahoma" w:hAnsi="Tahoma" w:cs="Tahoma"/>
        <w:b/>
        <w:bCs/>
        <w:color w:val="2F5496"/>
        <w:sz w:val="20"/>
        <w:szCs w:val="20"/>
      </w:rPr>
      <w:fldChar w:fldCharType="begin"/>
    </w:r>
    <w:r>
      <w:rPr>
        <w:rFonts w:ascii="Tahoma" w:hAnsi="Tahoma" w:cs="Tahoma"/>
        <w:b/>
        <w:bCs/>
        <w:color w:val="2F5496"/>
        <w:sz w:val="20"/>
        <w:szCs w:val="20"/>
      </w:rPr>
      <w:instrText xml:space="preserve"> PAGE </w:instrText>
    </w:r>
    <w:r>
      <w:rPr>
        <w:rFonts w:ascii="Tahoma" w:hAnsi="Tahoma" w:cs="Tahoma"/>
        <w:b/>
        <w:bCs/>
        <w:color w:val="2F5496"/>
        <w:sz w:val="20"/>
        <w:szCs w:val="20"/>
      </w:rPr>
      <w:fldChar w:fldCharType="separate"/>
    </w:r>
    <w:r w:rsidR="004456D5">
      <w:rPr>
        <w:rFonts w:ascii="Tahoma" w:hAnsi="Tahoma" w:cs="Tahoma"/>
        <w:b/>
        <w:bCs/>
        <w:noProof/>
        <w:color w:val="2F5496"/>
        <w:sz w:val="20"/>
        <w:szCs w:val="20"/>
      </w:rPr>
      <w:t>1</w:t>
    </w:r>
    <w:r>
      <w:rPr>
        <w:rFonts w:ascii="Tahoma" w:hAnsi="Tahoma" w:cs="Tahoma"/>
        <w:b/>
        <w:bCs/>
        <w:color w:val="2F5496"/>
        <w:sz w:val="20"/>
        <w:szCs w:val="20"/>
      </w:rPr>
      <w:fldChar w:fldCharType="end"/>
    </w:r>
  </w:p>
  <w:p w14:paraId="5F998033" w14:textId="77777777" w:rsidR="00C27AD1" w:rsidRDefault="00C27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B099B" w14:textId="77777777" w:rsidR="00C27AD1" w:rsidRDefault="00C27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789CA" w14:textId="77777777" w:rsidR="00665D6D" w:rsidRDefault="00665D6D">
      <w:r>
        <w:separator/>
      </w:r>
    </w:p>
  </w:footnote>
  <w:footnote w:type="continuationSeparator" w:id="0">
    <w:p w14:paraId="48F27C22" w14:textId="77777777" w:rsidR="00665D6D" w:rsidRDefault="00665D6D">
      <w:r>
        <w:continuationSeparator/>
      </w:r>
    </w:p>
  </w:footnote>
  <w:footnote w:id="1">
    <w:p w14:paraId="40AE5AC2" w14:textId="77777777" w:rsidR="00C27AD1" w:rsidRDefault="00C27AD1">
      <w:pPr>
        <w:pStyle w:val="FootnoteText"/>
      </w:pPr>
      <w:r>
        <w:rPr>
          <w:rStyle w:val="FootnoteCharacters"/>
          <w:rFonts w:ascii="Tahoma" w:hAnsi="Tahoma"/>
        </w:rPr>
        <w:footnoteRef/>
      </w:r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Надлежност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финансирања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образовања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оквирно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регулисана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Законом</w:t>
      </w:r>
      <w:proofErr w:type="spellEnd"/>
      <w:r>
        <w:rPr>
          <w:rFonts w:ascii="Tahoma" w:hAnsi="Tahoma" w:cs="Tahoma"/>
          <w:sz w:val="18"/>
          <w:szCs w:val="18"/>
        </w:rPr>
        <w:t xml:space="preserve"> о </w:t>
      </w:r>
      <w:proofErr w:type="spellStart"/>
      <w:r>
        <w:rPr>
          <w:rFonts w:ascii="Tahoma" w:hAnsi="Tahoma" w:cs="Tahoma"/>
          <w:sz w:val="18"/>
          <w:szCs w:val="18"/>
        </w:rPr>
        <w:t>основама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система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образовања</w:t>
      </w:r>
      <w:proofErr w:type="spellEnd"/>
      <w:r>
        <w:rPr>
          <w:rFonts w:ascii="Tahoma" w:hAnsi="Tahoma" w:cs="Tahoma"/>
          <w:sz w:val="18"/>
          <w:szCs w:val="18"/>
        </w:rPr>
        <w:t xml:space="preserve"> и </w:t>
      </w:r>
      <w:proofErr w:type="spellStart"/>
      <w:r>
        <w:rPr>
          <w:rFonts w:ascii="Tahoma" w:hAnsi="Tahoma" w:cs="Tahoma"/>
          <w:sz w:val="18"/>
          <w:szCs w:val="18"/>
        </w:rPr>
        <w:t>васпитања</w:t>
      </w:r>
      <w:proofErr w:type="spellEnd"/>
      <w:r>
        <w:rPr>
          <w:rFonts w:ascii="Tahoma" w:hAnsi="Tahoma" w:cs="Tahoma"/>
          <w:sz w:val="18"/>
          <w:szCs w:val="18"/>
        </w:rPr>
        <w:t xml:space="preserve"> (ЗОСОВ), “</w:t>
      </w:r>
      <w:proofErr w:type="spellStart"/>
      <w:r>
        <w:rPr>
          <w:rFonts w:ascii="Tahoma" w:hAnsi="Tahoma" w:cs="Tahoma"/>
          <w:sz w:val="18"/>
          <w:szCs w:val="18"/>
        </w:rPr>
        <w:t>Службени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гласник</w:t>
      </w:r>
      <w:proofErr w:type="spellEnd"/>
      <w:r>
        <w:rPr>
          <w:rFonts w:ascii="Tahoma" w:hAnsi="Tahoma" w:cs="Tahoma"/>
          <w:sz w:val="18"/>
          <w:szCs w:val="18"/>
        </w:rPr>
        <w:t xml:space="preserve"> РС” </w:t>
      </w:r>
      <w:proofErr w:type="spellStart"/>
      <w:r>
        <w:rPr>
          <w:rFonts w:ascii="Tahoma" w:hAnsi="Tahoma" w:cs="Tahoma"/>
          <w:sz w:val="18"/>
          <w:szCs w:val="18"/>
        </w:rPr>
        <w:t>бр</w:t>
      </w:r>
      <w:proofErr w:type="spellEnd"/>
      <w:r>
        <w:rPr>
          <w:rFonts w:ascii="Tahoma" w:hAnsi="Tahoma" w:cs="Tahoma"/>
          <w:sz w:val="18"/>
          <w:szCs w:val="18"/>
        </w:rPr>
        <w:t xml:space="preserve">. 88/2017, 27/2018 - </w:t>
      </w:r>
      <w:proofErr w:type="spellStart"/>
      <w:r>
        <w:rPr>
          <w:rFonts w:ascii="Tahoma" w:hAnsi="Tahoma" w:cs="Tahoma"/>
          <w:sz w:val="18"/>
          <w:szCs w:val="18"/>
        </w:rPr>
        <w:t>др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закон</w:t>
      </w:r>
      <w:proofErr w:type="spellEnd"/>
      <w:r>
        <w:rPr>
          <w:rFonts w:ascii="Tahoma" w:hAnsi="Tahoma" w:cs="Tahoma"/>
          <w:sz w:val="18"/>
          <w:szCs w:val="18"/>
        </w:rPr>
        <w:t xml:space="preserve">, 10/2019, 27/2018 - </w:t>
      </w:r>
      <w:proofErr w:type="spellStart"/>
      <w:r>
        <w:rPr>
          <w:rFonts w:ascii="Tahoma" w:hAnsi="Tahoma" w:cs="Tahoma"/>
          <w:sz w:val="18"/>
          <w:szCs w:val="18"/>
        </w:rPr>
        <w:t>др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закон</w:t>
      </w:r>
      <w:proofErr w:type="spellEnd"/>
      <w:r>
        <w:rPr>
          <w:rFonts w:ascii="Tahoma" w:hAnsi="Tahoma" w:cs="Tahoma"/>
          <w:sz w:val="18"/>
          <w:szCs w:val="18"/>
        </w:rPr>
        <w:t xml:space="preserve"> и 6/2020).</w:t>
      </w:r>
    </w:p>
  </w:footnote>
  <w:footnote w:id="2">
    <w:p w14:paraId="7BDCA7D4" w14:textId="77777777" w:rsidR="00C27AD1" w:rsidRDefault="00C27AD1">
      <w:pPr>
        <w:jc w:val="both"/>
      </w:pPr>
      <w:r>
        <w:rPr>
          <w:rStyle w:val="FootnoteCharacters"/>
          <w:rFonts w:ascii="Tahoma" w:hAnsi="Tahoma"/>
        </w:rPr>
        <w:footnoteRef/>
      </w:r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Члан</w:t>
      </w:r>
      <w:proofErr w:type="spellEnd"/>
      <w:r>
        <w:rPr>
          <w:rFonts w:ascii="Tahoma" w:hAnsi="Tahoma" w:cs="Tahoma"/>
          <w:sz w:val="18"/>
          <w:szCs w:val="18"/>
        </w:rPr>
        <w:t xml:space="preserve"> 108. ЗОСОВ </w:t>
      </w:r>
      <w:proofErr w:type="spellStart"/>
      <w:r>
        <w:rPr>
          <w:rFonts w:ascii="Tahoma" w:hAnsi="Tahoma" w:cs="Tahoma"/>
          <w:sz w:val="18"/>
          <w:szCs w:val="18"/>
        </w:rPr>
        <w:t>уређује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одговорност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установе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за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безбедност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деце</w:t>
      </w:r>
      <w:proofErr w:type="spellEnd"/>
      <w:r>
        <w:rPr>
          <w:rFonts w:ascii="Tahoma" w:hAnsi="Tahoma" w:cs="Tahoma"/>
          <w:sz w:val="18"/>
          <w:szCs w:val="18"/>
        </w:rPr>
        <w:t xml:space="preserve"> и </w:t>
      </w:r>
      <w:proofErr w:type="spellStart"/>
      <w:r>
        <w:rPr>
          <w:rFonts w:ascii="Tahoma" w:hAnsi="Tahoma" w:cs="Tahoma"/>
          <w:sz w:val="18"/>
          <w:szCs w:val="18"/>
        </w:rPr>
        <w:t>ученика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односно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установа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доноси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акт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којим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прописује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мере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начин</w:t>
      </w:r>
      <w:proofErr w:type="spellEnd"/>
      <w:r>
        <w:rPr>
          <w:rFonts w:ascii="Tahoma" w:hAnsi="Tahoma" w:cs="Tahoma"/>
          <w:sz w:val="18"/>
          <w:szCs w:val="18"/>
        </w:rPr>
        <w:t xml:space="preserve"> и </w:t>
      </w:r>
      <w:proofErr w:type="spellStart"/>
      <w:r>
        <w:rPr>
          <w:rFonts w:ascii="Tahoma" w:hAnsi="Tahoma" w:cs="Tahoma"/>
          <w:sz w:val="18"/>
          <w:szCs w:val="18"/>
        </w:rPr>
        <w:t>поступак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заштите</w:t>
      </w:r>
      <w:proofErr w:type="spellEnd"/>
      <w:r>
        <w:rPr>
          <w:rFonts w:ascii="Tahoma" w:hAnsi="Tahoma" w:cs="Tahoma"/>
          <w:sz w:val="18"/>
          <w:szCs w:val="18"/>
        </w:rPr>
        <w:t xml:space="preserve"> и </w:t>
      </w:r>
      <w:proofErr w:type="spellStart"/>
      <w:r>
        <w:rPr>
          <w:rFonts w:ascii="Tahoma" w:hAnsi="Tahoma" w:cs="Tahoma"/>
          <w:sz w:val="18"/>
          <w:szCs w:val="18"/>
        </w:rPr>
        <w:t>безбедности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деце</w:t>
      </w:r>
      <w:proofErr w:type="spellEnd"/>
      <w:r>
        <w:rPr>
          <w:rFonts w:ascii="Tahoma" w:hAnsi="Tahoma" w:cs="Tahoma"/>
          <w:sz w:val="18"/>
          <w:szCs w:val="18"/>
        </w:rPr>
        <w:t xml:space="preserve"> и </w:t>
      </w:r>
      <w:proofErr w:type="spellStart"/>
      <w:r>
        <w:rPr>
          <w:rFonts w:ascii="Tahoma" w:hAnsi="Tahoma" w:cs="Tahoma"/>
          <w:sz w:val="18"/>
          <w:szCs w:val="18"/>
        </w:rPr>
        <w:t>ученика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за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време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боравка</w:t>
      </w:r>
      <w:proofErr w:type="spellEnd"/>
      <w:r>
        <w:rPr>
          <w:rFonts w:ascii="Tahoma" w:hAnsi="Tahoma" w:cs="Tahoma"/>
          <w:sz w:val="18"/>
          <w:szCs w:val="18"/>
        </w:rPr>
        <w:t xml:space="preserve"> у </w:t>
      </w:r>
      <w:proofErr w:type="spellStart"/>
      <w:r>
        <w:rPr>
          <w:rFonts w:ascii="Tahoma" w:hAnsi="Tahoma" w:cs="Tahoma"/>
          <w:sz w:val="18"/>
          <w:szCs w:val="18"/>
        </w:rPr>
        <w:t>установи</w:t>
      </w:r>
      <w:proofErr w:type="spellEnd"/>
      <w:r>
        <w:rPr>
          <w:rFonts w:ascii="Tahoma" w:hAnsi="Tahoma" w:cs="Tahoma"/>
          <w:sz w:val="18"/>
          <w:szCs w:val="18"/>
        </w:rPr>
        <w:t xml:space="preserve"> и </w:t>
      </w:r>
      <w:proofErr w:type="spellStart"/>
      <w:r>
        <w:rPr>
          <w:rFonts w:ascii="Tahoma" w:hAnsi="Tahoma" w:cs="Tahoma"/>
          <w:sz w:val="18"/>
          <w:szCs w:val="18"/>
        </w:rPr>
        <w:t>свих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активности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које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организује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установа</w:t>
      </w:r>
      <w:proofErr w:type="spellEnd"/>
      <w:r>
        <w:rPr>
          <w:rFonts w:ascii="Tahoma" w:hAnsi="Tahoma" w:cs="Tahoma"/>
          <w:sz w:val="18"/>
          <w:szCs w:val="18"/>
        </w:rPr>
        <w:t xml:space="preserve">, у </w:t>
      </w:r>
      <w:proofErr w:type="spellStart"/>
      <w:r>
        <w:rPr>
          <w:rFonts w:ascii="Tahoma" w:hAnsi="Tahoma" w:cs="Tahoma"/>
          <w:sz w:val="18"/>
          <w:szCs w:val="18"/>
        </w:rPr>
        <w:t>сарадњи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са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надлежним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органом</w:t>
      </w:r>
      <w:proofErr w:type="spellEnd"/>
      <w:r>
        <w:rPr>
          <w:rFonts w:ascii="Tahoma" w:hAnsi="Tahoma" w:cs="Tahoma"/>
          <w:sz w:val="18"/>
          <w:szCs w:val="18"/>
        </w:rPr>
        <w:t xml:space="preserve"> ЈЛС, </w:t>
      </w:r>
      <w:proofErr w:type="spellStart"/>
      <w:r>
        <w:rPr>
          <w:rFonts w:ascii="Tahoma" w:hAnsi="Tahoma" w:cs="Tahoma"/>
          <w:sz w:val="18"/>
          <w:szCs w:val="18"/>
        </w:rPr>
        <w:t>које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дужна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спроводи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</w:footnote>
  <w:footnote w:id="3">
    <w:p w14:paraId="5B1F6AAC" w14:textId="77777777" w:rsidR="00C27AD1" w:rsidRDefault="00C27AD1">
      <w:pPr>
        <w:pStyle w:val="FootnoteText"/>
      </w:pPr>
      <w:r>
        <w:rPr>
          <w:rStyle w:val="FootnoteCharacters"/>
          <w:rFonts w:ascii="Tahoma" w:hAnsi="Tahoma"/>
        </w:rPr>
        <w:footnoteRef/>
      </w:r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Члан</w:t>
      </w:r>
      <w:proofErr w:type="spellEnd"/>
      <w:r>
        <w:rPr>
          <w:rFonts w:ascii="Tahoma" w:hAnsi="Tahoma" w:cs="Tahoma"/>
          <w:sz w:val="18"/>
          <w:szCs w:val="18"/>
        </w:rPr>
        <w:t xml:space="preserve"> 50. </w:t>
      </w:r>
      <w:proofErr w:type="spellStart"/>
      <w:r>
        <w:rPr>
          <w:rFonts w:ascii="Tahoma" w:hAnsi="Tahoma" w:cs="Tahoma"/>
          <w:sz w:val="18"/>
          <w:szCs w:val="18"/>
        </w:rPr>
        <w:t>Закона</w:t>
      </w:r>
      <w:proofErr w:type="spellEnd"/>
      <w:r>
        <w:rPr>
          <w:rFonts w:ascii="Tahoma" w:hAnsi="Tahoma" w:cs="Tahoma"/>
          <w:sz w:val="18"/>
          <w:szCs w:val="18"/>
        </w:rPr>
        <w:t xml:space="preserve"> о </w:t>
      </w:r>
      <w:proofErr w:type="spellStart"/>
      <w:r>
        <w:rPr>
          <w:rFonts w:ascii="Tahoma" w:hAnsi="Tahoma" w:cs="Tahoma"/>
          <w:sz w:val="18"/>
          <w:szCs w:val="18"/>
        </w:rPr>
        <w:t>предшколском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васпитању</w:t>
      </w:r>
      <w:proofErr w:type="spellEnd"/>
      <w:r>
        <w:rPr>
          <w:rFonts w:ascii="Tahoma" w:hAnsi="Tahoma" w:cs="Tahoma"/>
          <w:sz w:val="18"/>
          <w:szCs w:val="18"/>
        </w:rPr>
        <w:t xml:space="preserve"> и </w:t>
      </w:r>
      <w:proofErr w:type="spellStart"/>
      <w:r>
        <w:rPr>
          <w:rFonts w:ascii="Tahoma" w:hAnsi="Tahoma" w:cs="Tahoma"/>
          <w:sz w:val="18"/>
          <w:szCs w:val="18"/>
        </w:rPr>
        <w:t>образовању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</w:footnote>
  <w:footnote w:id="4">
    <w:p w14:paraId="5F4C2FA9" w14:textId="77777777" w:rsidR="00C27AD1" w:rsidRDefault="00C27AD1">
      <w:pPr>
        <w:pStyle w:val="FootnoteText"/>
      </w:pPr>
      <w:r>
        <w:rPr>
          <w:rStyle w:val="FootnoteCharacters"/>
          <w:rFonts w:ascii="Tahoma" w:hAnsi="Tahoma"/>
        </w:rPr>
        <w:footnoteRef/>
      </w:r>
      <w:r>
        <w:rPr>
          <w:rFonts w:ascii="Tahoma" w:hAnsi="Tahoma" w:cs="Tahoma"/>
          <w:sz w:val="18"/>
          <w:szCs w:val="18"/>
        </w:rPr>
        <w:t xml:space="preserve"> „</w:t>
      </w:r>
      <w:proofErr w:type="spellStart"/>
      <w:r>
        <w:rPr>
          <w:rFonts w:ascii="Tahoma" w:hAnsi="Tahoma" w:cs="Tahoma"/>
          <w:sz w:val="18"/>
          <w:szCs w:val="18"/>
        </w:rPr>
        <w:t>Службени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гласник</w:t>
      </w:r>
      <w:proofErr w:type="spellEnd"/>
      <w:r>
        <w:rPr>
          <w:rFonts w:ascii="Tahoma" w:hAnsi="Tahoma" w:cs="Tahoma"/>
          <w:sz w:val="18"/>
          <w:szCs w:val="18"/>
        </w:rPr>
        <w:t xml:space="preserve"> РС", </w:t>
      </w:r>
      <w:proofErr w:type="spellStart"/>
      <w:r>
        <w:rPr>
          <w:rFonts w:ascii="Tahoma" w:hAnsi="Tahoma" w:cs="Tahoma"/>
          <w:sz w:val="18"/>
          <w:szCs w:val="18"/>
        </w:rPr>
        <w:t>бр</w:t>
      </w:r>
      <w:proofErr w:type="spellEnd"/>
      <w:r>
        <w:rPr>
          <w:rFonts w:ascii="Tahoma" w:hAnsi="Tahoma" w:cs="Tahoma"/>
          <w:sz w:val="18"/>
          <w:szCs w:val="18"/>
        </w:rPr>
        <w:t xml:space="preserve">. 73 </w:t>
      </w:r>
      <w:proofErr w:type="spellStart"/>
      <w:r>
        <w:rPr>
          <w:rFonts w:ascii="Tahoma" w:hAnsi="Tahoma" w:cs="Tahoma"/>
          <w:sz w:val="18"/>
          <w:szCs w:val="18"/>
        </w:rPr>
        <w:t>од</w:t>
      </w:r>
      <w:proofErr w:type="spellEnd"/>
      <w:r>
        <w:rPr>
          <w:rFonts w:ascii="Tahoma" w:hAnsi="Tahoma" w:cs="Tahoma"/>
          <w:sz w:val="18"/>
          <w:szCs w:val="18"/>
        </w:rPr>
        <w:t xml:space="preserve"> 31. </w:t>
      </w:r>
      <w:proofErr w:type="spellStart"/>
      <w:r>
        <w:rPr>
          <w:rFonts w:ascii="Tahoma" w:hAnsi="Tahoma" w:cs="Tahoma"/>
          <w:sz w:val="18"/>
          <w:szCs w:val="18"/>
        </w:rPr>
        <w:t>августа</w:t>
      </w:r>
      <w:proofErr w:type="spellEnd"/>
      <w:r>
        <w:rPr>
          <w:rFonts w:ascii="Tahoma" w:hAnsi="Tahoma" w:cs="Tahoma"/>
          <w:sz w:val="18"/>
          <w:szCs w:val="18"/>
        </w:rPr>
        <w:t xml:space="preserve"> 2016, 45 </w:t>
      </w:r>
      <w:proofErr w:type="spellStart"/>
      <w:r>
        <w:rPr>
          <w:rFonts w:ascii="Tahoma" w:hAnsi="Tahoma" w:cs="Tahoma"/>
          <w:sz w:val="18"/>
          <w:szCs w:val="18"/>
        </w:rPr>
        <w:t>од</w:t>
      </w:r>
      <w:proofErr w:type="spellEnd"/>
      <w:r>
        <w:rPr>
          <w:rFonts w:ascii="Tahoma" w:hAnsi="Tahoma" w:cs="Tahoma"/>
          <w:sz w:val="18"/>
          <w:szCs w:val="18"/>
        </w:rPr>
        <w:t xml:space="preserve"> 13. </w:t>
      </w:r>
      <w:proofErr w:type="spellStart"/>
      <w:r>
        <w:rPr>
          <w:rFonts w:ascii="Tahoma" w:hAnsi="Tahoma" w:cs="Tahoma"/>
          <w:sz w:val="18"/>
          <w:szCs w:val="18"/>
        </w:rPr>
        <w:t>јуна</w:t>
      </w:r>
      <w:proofErr w:type="spellEnd"/>
      <w:r>
        <w:rPr>
          <w:rFonts w:ascii="Tahoma" w:hAnsi="Tahoma" w:cs="Tahoma"/>
          <w:sz w:val="18"/>
          <w:szCs w:val="18"/>
        </w:rPr>
        <w:t xml:space="preserve"> 2018.</w:t>
      </w:r>
    </w:p>
  </w:footnote>
  <w:footnote w:id="5">
    <w:p w14:paraId="08CD44CF" w14:textId="77777777" w:rsidR="00C27AD1" w:rsidRDefault="00C27AD1">
      <w:pPr>
        <w:pStyle w:val="FootnoteText"/>
        <w:jc w:val="both"/>
      </w:pPr>
      <w:r>
        <w:rPr>
          <w:rStyle w:val="FootnoteCharacters"/>
          <w:rFonts w:ascii="Tahoma" w:hAnsi="Tahoma"/>
        </w:rPr>
        <w:footnoteRef/>
      </w:r>
      <w:r>
        <w:rPr>
          <w:rFonts w:ascii="Tahoma" w:hAnsi="Tahoma" w:cs="Tahoma"/>
          <w:sz w:val="18"/>
          <w:szCs w:val="18"/>
          <w:lang w:val="hr-HR"/>
        </w:rPr>
        <w:t xml:space="preserve"> </w:t>
      </w:r>
      <w:r>
        <w:rPr>
          <w:rFonts w:ascii="Tahoma" w:hAnsi="Tahoma" w:cs="Tahoma"/>
          <w:sz w:val="18"/>
          <w:szCs w:val="18"/>
        </w:rPr>
        <w:t>ПРАВИЛНИК</w:t>
      </w:r>
      <w:r>
        <w:rPr>
          <w:rFonts w:ascii="Tahoma" w:hAnsi="Tahoma" w:cs="Tahoma"/>
          <w:sz w:val="18"/>
          <w:szCs w:val="18"/>
          <w:lang w:val="hr-HR"/>
        </w:rPr>
        <w:t xml:space="preserve"> </w:t>
      </w:r>
      <w:r>
        <w:rPr>
          <w:rFonts w:ascii="Tahoma" w:hAnsi="Tahoma" w:cs="Tahoma"/>
          <w:sz w:val="18"/>
          <w:szCs w:val="18"/>
        </w:rPr>
        <w:t>о</w:t>
      </w:r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додатној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образовној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здравственој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r>
        <w:rPr>
          <w:rFonts w:ascii="Tahoma" w:hAnsi="Tahoma" w:cs="Tahoma"/>
          <w:sz w:val="18"/>
          <w:szCs w:val="18"/>
        </w:rPr>
        <w:t>и</w:t>
      </w:r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социјалној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подршци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детету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ученику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r>
        <w:rPr>
          <w:rFonts w:ascii="Tahoma" w:hAnsi="Tahoma" w:cs="Tahoma"/>
          <w:sz w:val="18"/>
          <w:szCs w:val="18"/>
        </w:rPr>
        <w:t>и</w:t>
      </w:r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одраслом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"</w:t>
      </w:r>
      <w:proofErr w:type="spellStart"/>
      <w:r>
        <w:rPr>
          <w:rFonts w:ascii="Tahoma" w:hAnsi="Tahoma" w:cs="Tahoma"/>
          <w:sz w:val="18"/>
          <w:szCs w:val="18"/>
        </w:rPr>
        <w:t>Службени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гласник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r>
        <w:rPr>
          <w:rFonts w:ascii="Tahoma" w:hAnsi="Tahoma" w:cs="Tahoma"/>
          <w:sz w:val="18"/>
          <w:szCs w:val="18"/>
        </w:rPr>
        <w:t>РС</w:t>
      </w:r>
      <w:r>
        <w:rPr>
          <w:rFonts w:ascii="Tahoma" w:hAnsi="Tahoma" w:cs="Tahoma"/>
          <w:sz w:val="18"/>
          <w:szCs w:val="18"/>
          <w:lang w:val="hr-HR"/>
        </w:rPr>
        <w:t xml:space="preserve">", </w:t>
      </w:r>
      <w:proofErr w:type="spellStart"/>
      <w:r>
        <w:rPr>
          <w:rFonts w:ascii="Tahoma" w:hAnsi="Tahoma" w:cs="Tahoma"/>
          <w:sz w:val="18"/>
          <w:szCs w:val="18"/>
        </w:rPr>
        <w:t>број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80 </w:t>
      </w:r>
      <w:proofErr w:type="spellStart"/>
      <w:r>
        <w:rPr>
          <w:rFonts w:ascii="Tahoma" w:hAnsi="Tahoma" w:cs="Tahoma"/>
          <w:sz w:val="18"/>
          <w:szCs w:val="18"/>
        </w:rPr>
        <w:t>од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24. </w:t>
      </w:r>
      <w:proofErr w:type="spellStart"/>
      <w:r>
        <w:rPr>
          <w:rFonts w:ascii="Tahoma" w:hAnsi="Tahoma" w:cs="Tahoma"/>
          <w:sz w:val="18"/>
          <w:szCs w:val="18"/>
        </w:rPr>
        <w:t>октобра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2018 </w:t>
      </w:r>
      <w:proofErr w:type="spellStart"/>
      <w:r>
        <w:rPr>
          <w:rFonts w:ascii="Tahoma" w:hAnsi="Tahoma" w:cs="Tahoma"/>
          <w:sz w:val="18"/>
          <w:szCs w:val="18"/>
        </w:rPr>
        <w:t>ближе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одређује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рад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r>
        <w:rPr>
          <w:rFonts w:ascii="Tahoma" w:hAnsi="Tahoma" w:cs="Tahoma"/>
          <w:sz w:val="18"/>
          <w:szCs w:val="18"/>
        </w:rPr>
        <w:t>ИРК</w:t>
      </w:r>
      <w:r>
        <w:rPr>
          <w:rFonts w:ascii="Tahoma" w:hAnsi="Tahoma" w:cs="Tahoma"/>
          <w:sz w:val="18"/>
          <w:szCs w:val="18"/>
          <w:lang w:val="hr-HR"/>
        </w:rPr>
        <w:t xml:space="preserve"> </w:t>
      </w:r>
      <w:r>
        <w:rPr>
          <w:rFonts w:ascii="Tahoma" w:hAnsi="Tahoma" w:cs="Tahoma"/>
          <w:sz w:val="18"/>
          <w:szCs w:val="18"/>
        </w:rPr>
        <w:t>И</w:t>
      </w:r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додатну</w:t>
      </w:r>
      <w:proofErr w:type="spellEnd"/>
      <w:r>
        <w:rPr>
          <w:rFonts w:ascii="Tahoma" w:hAnsi="Tahoma" w:cs="Tahoma"/>
          <w:sz w:val="18"/>
          <w:szCs w:val="18"/>
          <w:lang w:val="hr-HR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подршку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</w:footnote>
  <w:footnote w:id="6">
    <w:p w14:paraId="45D56794" w14:textId="77777777" w:rsidR="00C27AD1" w:rsidRDefault="00C27AD1">
      <w:pPr>
        <w:pStyle w:val="FootnoteText"/>
        <w:jc w:val="both"/>
      </w:pPr>
      <w:r>
        <w:rPr>
          <w:rStyle w:val="FootnoteCharacters"/>
          <w:rFonts w:ascii="Tahoma" w:hAnsi="Tahoma"/>
        </w:rPr>
        <w:footnoteRef/>
      </w:r>
      <w:r>
        <w:rPr>
          <w:rFonts w:ascii="Tahoma" w:hAnsi="Tahoma" w:cs="Tahoma"/>
          <w:sz w:val="18"/>
          <w:szCs w:val="18"/>
          <w:lang w:val="hr-HR"/>
        </w:rPr>
        <w:t xml:space="preserve"> Члан 190. ЗОСОВ регулише ову могућности</w:t>
      </w:r>
      <w:r>
        <w:rPr>
          <w:rFonts w:ascii="Tahoma" w:hAnsi="Tahoma" w:cs="Tahoma"/>
          <w:sz w:val="18"/>
          <w:szCs w:val="18"/>
        </w:rPr>
        <w:t>.</w:t>
      </w:r>
    </w:p>
  </w:footnote>
  <w:footnote w:id="7">
    <w:p w14:paraId="26F38351" w14:textId="77777777" w:rsidR="00C27AD1" w:rsidRDefault="00C27AD1">
      <w:pPr>
        <w:pStyle w:val="FootnoteText"/>
        <w:jc w:val="both"/>
      </w:pPr>
      <w:r>
        <w:rPr>
          <w:rStyle w:val="FootnoteCharacters"/>
          <w:rFonts w:ascii="Tahoma" w:hAnsi="Tahoma"/>
        </w:rPr>
        <w:footnoteRef/>
      </w:r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Члан</w:t>
      </w:r>
      <w:proofErr w:type="spellEnd"/>
      <w:r>
        <w:rPr>
          <w:rFonts w:ascii="Tahoma" w:hAnsi="Tahoma" w:cs="Tahoma"/>
          <w:sz w:val="18"/>
          <w:szCs w:val="18"/>
        </w:rPr>
        <w:t xml:space="preserve"> 17. ЗОСОВ </w:t>
      </w:r>
      <w:proofErr w:type="spellStart"/>
      <w:r>
        <w:rPr>
          <w:rFonts w:ascii="Tahoma" w:hAnsi="Tahoma" w:cs="Tahoma"/>
          <w:sz w:val="18"/>
          <w:szCs w:val="18"/>
        </w:rPr>
        <w:t>уређује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да</w:t>
      </w:r>
      <w:proofErr w:type="spellEnd"/>
      <w:r>
        <w:rPr>
          <w:rFonts w:ascii="Tahoma" w:hAnsi="Tahoma" w:cs="Tahoma"/>
          <w:sz w:val="18"/>
          <w:szCs w:val="18"/>
        </w:rPr>
        <w:t xml:space="preserve"> ЈЛС </w:t>
      </w:r>
      <w:proofErr w:type="spellStart"/>
      <w:r>
        <w:rPr>
          <w:rFonts w:ascii="Tahoma" w:hAnsi="Tahoma" w:cs="Tahoma"/>
          <w:sz w:val="18"/>
          <w:szCs w:val="18"/>
        </w:rPr>
        <w:t>води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евиденцију</w:t>
      </w:r>
      <w:proofErr w:type="spellEnd"/>
      <w:r>
        <w:rPr>
          <w:rFonts w:ascii="Tahoma" w:hAnsi="Tahoma" w:cs="Tahoma"/>
          <w:sz w:val="18"/>
          <w:szCs w:val="18"/>
        </w:rPr>
        <w:t xml:space="preserve"> и </w:t>
      </w:r>
      <w:proofErr w:type="spellStart"/>
      <w:r>
        <w:rPr>
          <w:rFonts w:ascii="Tahoma" w:hAnsi="Tahoma" w:cs="Tahoma"/>
          <w:sz w:val="18"/>
          <w:szCs w:val="18"/>
        </w:rPr>
        <w:t>обавештава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предшколску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установу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односно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основну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школу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која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остварује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припремни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предшколски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програм</w:t>
      </w:r>
      <w:proofErr w:type="spellEnd"/>
      <w:r>
        <w:rPr>
          <w:rFonts w:ascii="Tahoma" w:hAnsi="Tahoma" w:cs="Tahoma"/>
          <w:sz w:val="18"/>
          <w:szCs w:val="18"/>
        </w:rPr>
        <w:t xml:space="preserve"> о </w:t>
      </w:r>
      <w:proofErr w:type="spellStart"/>
      <w:r>
        <w:rPr>
          <w:rFonts w:ascii="Tahoma" w:hAnsi="Tahoma" w:cs="Tahoma"/>
          <w:sz w:val="18"/>
          <w:szCs w:val="18"/>
        </w:rPr>
        <w:t>деци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која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су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стасала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за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похађање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припремног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предшколског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програма</w:t>
      </w:r>
      <w:proofErr w:type="spellEnd"/>
      <w:r>
        <w:rPr>
          <w:rFonts w:ascii="Tahoma" w:hAnsi="Tahoma" w:cs="Tahoma"/>
          <w:sz w:val="18"/>
          <w:szCs w:val="18"/>
        </w:rPr>
        <w:t xml:space="preserve">, у </w:t>
      </w:r>
      <w:proofErr w:type="spellStart"/>
      <w:r>
        <w:rPr>
          <w:rFonts w:ascii="Tahoma" w:hAnsi="Tahoma" w:cs="Tahoma"/>
          <w:sz w:val="18"/>
          <w:szCs w:val="18"/>
        </w:rPr>
        <w:t>складу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са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посебним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законом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</w:footnote>
  <w:footnote w:id="8">
    <w:p w14:paraId="67017924" w14:textId="77777777" w:rsidR="00C27AD1" w:rsidRDefault="00C27AD1">
      <w:pPr>
        <w:pStyle w:val="FootnoteText"/>
        <w:jc w:val="both"/>
      </w:pPr>
      <w:r>
        <w:rPr>
          <w:rStyle w:val="FootnoteCharacters"/>
          <w:rFonts w:ascii="Tahoma" w:hAnsi="Tahoma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RS"/>
        </w:rPr>
        <w:t xml:space="preserve">Стратегија је усвојена у јуну 2021. године </w:t>
      </w:r>
      <w:hyperlink r:id="rId1" w:history="1">
        <w:r>
          <w:rPr>
            <w:rStyle w:val="Hyperlink"/>
            <w:sz w:val="18"/>
            <w:szCs w:val="18"/>
            <w:lang w:val="sr-Cyrl-RS"/>
          </w:rPr>
          <w:t>https://mpn.gov.rs/kategorija_dokumenata/strategije/</w:t>
        </w:r>
      </w:hyperlink>
    </w:p>
  </w:footnote>
  <w:footnote w:id="9">
    <w:p w14:paraId="3E913531" w14:textId="77777777" w:rsidR="00C27AD1" w:rsidRDefault="00C27AD1">
      <w:pPr>
        <w:pStyle w:val="FootnoteText"/>
        <w:jc w:val="both"/>
      </w:pPr>
      <w:r>
        <w:rPr>
          <w:rStyle w:val="FootnoteCharacters"/>
          <w:rFonts w:ascii="Tahoma" w:hAnsi="Tahoma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RS"/>
        </w:rPr>
        <w:t xml:space="preserve">Ибид. </w:t>
      </w:r>
    </w:p>
  </w:footnote>
  <w:footnote w:id="10">
    <w:p w14:paraId="63B26DD8" w14:textId="77777777" w:rsidR="00C27AD1" w:rsidRDefault="00C27AD1">
      <w:pPr>
        <w:pStyle w:val="FootnoteText"/>
      </w:pPr>
      <w:r>
        <w:rPr>
          <w:rStyle w:val="FootnoteCharacters"/>
          <w:rFonts w:ascii="Tahoma" w:hAnsi="Tahoma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RS"/>
        </w:rPr>
        <w:t>Ибид, стр. 20</w:t>
      </w:r>
    </w:p>
    <w:p w14:paraId="4F2CD787" w14:textId="77777777" w:rsidR="00C27AD1" w:rsidRDefault="00C27AD1">
      <w:pPr>
        <w:pStyle w:val="FootnoteText"/>
      </w:pPr>
      <w:r>
        <w:rPr>
          <w:sz w:val="18"/>
          <w:szCs w:val="18"/>
          <w:lang w:val="sr-Cyrl-RS"/>
        </w:rPr>
        <w:t xml:space="preserve">Ибид, стр. </w:t>
      </w:r>
    </w:p>
  </w:footnote>
  <w:footnote w:id="11">
    <w:p w14:paraId="06552AA4" w14:textId="77777777" w:rsidR="00C27AD1" w:rsidRPr="00BE2F6B" w:rsidRDefault="00C27AD1">
      <w:pPr>
        <w:pStyle w:val="FootnoteText"/>
        <w:jc w:val="both"/>
        <w:rPr>
          <w:rFonts w:ascii="Tahoma" w:hAnsi="Tahoma" w:cs="Tahoma"/>
          <w:sz w:val="18"/>
          <w:szCs w:val="18"/>
        </w:rPr>
      </w:pPr>
      <w:r w:rsidRPr="00BE2F6B">
        <w:rPr>
          <w:rStyle w:val="FootnoteCharacters"/>
          <w:rFonts w:ascii="Tahoma" w:hAnsi="Tahoma" w:cs="Tahoma"/>
          <w:sz w:val="18"/>
          <w:szCs w:val="18"/>
        </w:rPr>
        <w:footnoteRef/>
      </w:r>
      <w:r w:rsidRPr="00BE2F6B">
        <w:rPr>
          <w:rFonts w:ascii="Tahoma" w:hAnsi="Tahoma" w:cs="Tahoma"/>
          <w:sz w:val="18"/>
          <w:szCs w:val="18"/>
        </w:rPr>
        <w:t xml:space="preserve"> </w:t>
      </w:r>
      <w:r w:rsidRPr="00BE2F6B">
        <w:rPr>
          <w:rFonts w:ascii="Tahoma" w:hAnsi="Tahoma" w:cs="Tahoma"/>
          <w:sz w:val="18"/>
          <w:szCs w:val="18"/>
          <w:lang w:val="sr-Cyrl-RS"/>
        </w:rPr>
        <w:t xml:space="preserve">Овај циљ је практично већ остварен имајући у виду да је почетна вредност из 2020. године 97,36%. Тиме се имплицитно признаје одустајање од обухвата маргиналних група. </w:t>
      </w:r>
    </w:p>
  </w:footnote>
  <w:footnote w:id="12">
    <w:p w14:paraId="0C518BD4" w14:textId="77777777" w:rsidR="00C27AD1" w:rsidRPr="00BE2F6B" w:rsidRDefault="00C27AD1">
      <w:pPr>
        <w:pStyle w:val="FootnoteText"/>
        <w:rPr>
          <w:rFonts w:ascii="Tahoma" w:hAnsi="Tahoma" w:cs="Tahoma"/>
          <w:sz w:val="18"/>
          <w:szCs w:val="18"/>
        </w:rPr>
      </w:pPr>
      <w:r w:rsidRPr="00BE2F6B">
        <w:rPr>
          <w:rStyle w:val="FootnoteCharacters"/>
          <w:rFonts w:ascii="Tahoma" w:hAnsi="Tahoma" w:cs="Tahoma"/>
          <w:sz w:val="18"/>
          <w:szCs w:val="18"/>
        </w:rPr>
        <w:footnoteRef/>
      </w:r>
      <w:r w:rsidRPr="00BE2F6B">
        <w:rPr>
          <w:rFonts w:ascii="Tahoma" w:hAnsi="Tahoma" w:cs="Tahoma"/>
          <w:sz w:val="18"/>
          <w:szCs w:val="18"/>
        </w:rPr>
        <w:t xml:space="preserve"> </w:t>
      </w:r>
      <w:r w:rsidRPr="00BE2F6B">
        <w:rPr>
          <w:rFonts w:ascii="Tahoma" w:hAnsi="Tahoma" w:cs="Tahoma"/>
          <w:sz w:val="18"/>
          <w:szCs w:val="18"/>
          <w:lang w:val="sr-Cyrl-RS"/>
        </w:rPr>
        <w:t>На пример нагли скок обухвата јаслама у 2017. години и онда пад на претходни ниво делује као методолошка грешка</w:t>
      </w:r>
    </w:p>
  </w:footnote>
  <w:footnote w:id="13">
    <w:p w14:paraId="2F6E0AF9" w14:textId="77777777" w:rsidR="00C27AD1" w:rsidRDefault="00C27AD1">
      <w:pPr>
        <w:pStyle w:val="FootnoteText"/>
      </w:pPr>
      <w:r>
        <w:rPr>
          <w:rStyle w:val="FootnoteCharacters"/>
          <w:rFonts w:ascii="Tahoma" w:hAnsi="Tahoma"/>
        </w:rPr>
        <w:footnoteRef/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lang w:val="sr-Cyrl-RS"/>
        </w:rPr>
        <w:t>Тро</w:t>
      </w:r>
      <w:proofErr w:type="spellStart"/>
      <w:r>
        <w:rPr>
          <w:rFonts w:ascii="Tahoma" w:hAnsi="Tahoma" w:cs="Tahoma"/>
          <w:sz w:val="18"/>
          <w:szCs w:val="18"/>
        </w:rPr>
        <w:t>годишњи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просек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рађен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да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би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се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ублажио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проблем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флуктуације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података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на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општинском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нивоу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</w:footnote>
  <w:footnote w:id="14">
    <w:p w14:paraId="2BA7CCD2" w14:textId="77777777" w:rsidR="00CC442E" w:rsidRPr="00BE2F6B" w:rsidRDefault="00CC442E">
      <w:pPr>
        <w:pStyle w:val="FootnoteText"/>
        <w:rPr>
          <w:rFonts w:ascii="Tahoma" w:hAnsi="Tahoma" w:cs="Tahoma"/>
          <w:sz w:val="18"/>
          <w:szCs w:val="18"/>
          <w:lang w:val="sr-Cyrl-RS"/>
        </w:rPr>
      </w:pPr>
      <w:r w:rsidRPr="00BE2F6B">
        <w:rPr>
          <w:rStyle w:val="FootnoteReference"/>
          <w:rFonts w:ascii="Tahoma" w:hAnsi="Tahoma" w:cs="Tahoma"/>
          <w:sz w:val="18"/>
          <w:szCs w:val="18"/>
        </w:rPr>
        <w:footnoteRef/>
      </w:r>
      <w:r w:rsidRPr="00BE2F6B">
        <w:rPr>
          <w:rFonts w:ascii="Tahoma" w:hAnsi="Tahoma" w:cs="Tahoma"/>
          <w:sz w:val="18"/>
          <w:szCs w:val="18"/>
        </w:rPr>
        <w:t xml:space="preserve"> </w:t>
      </w:r>
      <w:r w:rsidRPr="00BE2F6B">
        <w:rPr>
          <w:rFonts w:ascii="Tahoma" w:hAnsi="Tahoma" w:cs="Tahoma"/>
          <w:sz w:val="18"/>
          <w:szCs w:val="18"/>
          <w:lang w:val="sr-Cyrl-RS"/>
        </w:rPr>
        <w:t>Републички завод за статистику Србије</w:t>
      </w:r>
    </w:p>
  </w:footnote>
  <w:footnote w:id="15">
    <w:p w14:paraId="5F697060" w14:textId="77777777" w:rsidR="00CA1AC5" w:rsidRPr="00BE2F6B" w:rsidRDefault="00CA1AC5" w:rsidP="00CA1AC5">
      <w:pPr>
        <w:suppressAutoHyphens w:val="0"/>
        <w:rPr>
          <w:rFonts w:ascii="Tahoma" w:hAnsi="Tahoma" w:cs="Tahoma"/>
          <w:sz w:val="18"/>
          <w:szCs w:val="18"/>
        </w:rPr>
      </w:pPr>
      <w:r w:rsidRPr="00BE2F6B">
        <w:rPr>
          <w:rStyle w:val="FootnoteReference"/>
          <w:rFonts w:ascii="Tahoma" w:hAnsi="Tahoma" w:cs="Tahoma"/>
          <w:sz w:val="18"/>
          <w:szCs w:val="18"/>
        </w:rPr>
        <w:footnoteRef/>
      </w:r>
      <w:r w:rsidRPr="00BE2F6B">
        <w:rPr>
          <w:rFonts w:ascii="Tahoma" w:hAnsi="Tahoma" w:cs="Tahoma"/>
          <w:sz w:val="18"/>
          <w:szCs w:val="18"/>
        </w:rPr>
        <w:t xml:space="preserve"> </w:t>
      </w:r>
      <w:r w:rsidRPr="00BE2F6B">
        <w:rPr>
          <w:rFonts w:ascii="Tahoma" w:hAnsi="Tahoma" w:cs="Tahoma"/>
          <w:sz w:val="18"/>
          <w:szCs w:val="18"/>
          <w:lang w:val="sr-Cyrl-RS"/>
        </w:rPr>
        <w:t xml:space="preserve">Према подацима из општине само само родитељи трећег детета су ослобођени плаћања вртића, а то је мање од 10%, што значи да су ови остали вероватно </w:t>
      </w:r>
      <w:r w:rsidR="00C110D7" w:rsidRPr="00BE2F6B">
        <w:rPr>
          <w:rFonts w:ascii="Tahoma" w:hAnsi="Tahoma" w:cs="Tahoma"/>
          <w:sz w:val="18"/>
          <w:szCs w:val="18"/>
          <w:lang w:val="sr-Cyrl-RS"/>
        </w:rPr>
        <w:t xml:space="preserve">деца за коју се учешће од 20% се покрива са националног нивоа (Министарство за рад, запошљавање, социјална и борачка питања) а то су </w:t>
      </w:r>
      <w:r w:rsidRPr="00BE2F6B">
        <w:rPr>
          <w:rFonts w:ascii="Tahoma" w:hAnsi="Tahoma" w:cs="Tahoma"/>
          <w:sz w:val="18"/>
          <w:szCs w:val="18"/>
          <w:lang w:val="sr-Cyrl-RS"/>
        </w:rPr>
        <w:t>дец</w:t>
      </w:r>
      <w:r w:rsidR="00C110D7" w:rsidRPr="00BE2F6B">
        <w:rPr>
          <w:rFonts w:ascii="Tahoma" w:hAnsi="Tahoma" w:cs="Tahoma"/>
          <w:sz w:val="18"/>
          <w:szCs w:val="18"/>
          <w:lang w:val="sr-Cyrl-RS"/>
        </w:rPr>
        <w:t xml:space="preserve">а </w:t>
      </w:r>
      <w:r w:rsidRPr="00BE2F6B">
        <w:rPr>
          <w:rFonts w:ascii="Tahoma" w:hAnsi="Tahoma" w:cs="Tahoma"/>
          <w:sz w:val="18"/>
          <w:szCs w:val="18"/>
          <w:lang w:val="sr-Cyrl-RS"/>
        </w:rPr>
        <w:t>без родитељског старања, дец</w:t>
      </w:r>
      <w:r w:rsidR="00C110D7" w:rsidRPr="00BE2F6B">
        <w:rPr>
          <w:rFonts w:ascii="Tahoma" w:hAnsi="Tahoma" w:cs="Tahoma"/>
          <w:sz w:val="18"/>
          <w:szCs w:val="18"/>
          <w:lang w:val="sr-Cyrl-RS"/>
        </w:rPr>
        <w:t>а</w:t>
      </w:r>
      <w:r w:rsidRPr="00BE2F6B">
        <w:rPr>
          <w:rFonts w:ascii="Tahoma" w:hAnsi="Tahoma" w:cs="Tahoma"/>
          <w:sz w:val="18"/>
          <w:szCs w:val="18"/>
          <w:lang w:val="sr-Cyrl-RS"/>
        </w:rPr>
        <w:t xml:space="preserve"> са сметњама у развоју и дец</w:t>
      </w:r>
      <w:r w:rsidR="00C110D7" w:rsidRPr="00BE2F6B">
        <w:rPr>
          <w:rFonts w:ascii="Tahoma" w:hAnsi="Tahoma" w:cs="Tahoma"/>
          <w:sz w:val="18"/>
          <w:szCs w:val="18"/>
          <w:lang w:val="sr-Cyrl-RS"/>
        </w:rPr>
        <w:t>а</w:t>
      </w:r>
      <w:r w:rsidRPr="00BE2F6B">
        <w:rPr>
          <w:rFonts w:ascii="Tahoma" w:hAnsi="Tahoma" w:cs="Tahoma"/>
          <w:sz w:val="18"/>
          <w:szCs w:val="18"/>
          <w:lang w:val="sr-Cyrl-RS"/>
        </w:rPr>
        <w:t xml:space="preserve"> корисника НСП</w:t>
      </w:r>
      <w:r w:rsidR="00C110D7" w:rsidRPr="00BE2F6B">
        <w:rPr>
          <w:rFonts w:ascii="Tahoma" w:hAnsi="Tahoma" w:cs="Tahoma"/>
          <w:sz w:val="18"/>
          <w:szCs w:val="18"/>
          <w:lang w:val="sr-Cyrl-RS"/>
        </w:rPr>
        <w:t xml:space="preserve">. </w:t>
      </w:r>
    </w:p>
    <w:p w14:paraId="6B08F5C7" w14:textId="77777777" w:rsidR="00CA1AC5" w:rsidRDefault="00CA1AC5">
      <w:pPr>
        <w:pStyle w:val="FootnoteText"/>
      </w:pPr>
    </w:p>
  </w:footnote>
  <w:footnote w:id="16">
    <w:p w14:paraId="51C9CA81" w14:textId="77777777" w:rsidR="00C27AD1" w:rsidRPr="00BE2F6B" w:rsidRDefault="00C27AD1">
      <w:pPr>
        <w:pStyle w:val="FootnoteText"/>
        <w:rPr>
          <w:rFonts w:ascii="Tahoma" w:hAnsi="Tahoma" w:cs="Tahoma"/>
          <w:sz w:val="18"/>
          <w:szCs w:val="18"/>
        </w:rPr>
      </w:pPr>
      <w:r w:rsidRPr="00BE2F6B">
        <w:rPr>
          <w:rStyle w:val="FootnoteCharacters"/>
          <w:rFonts w:ascii="Tahoma" w:hAnsi="Tahoma" w:cs="Tahoma"/>
          <w:sz w:val="18"/>
          <w:szCs w:val="18"/>
        </w:rPr>
        <w:footnoteRef/>
      </w:r>
      <w:r w:rsidRPr="00BE2F6B">
        <w:rPr>
          <w:rFonts w:ascii="Tahoma" w:hAnsi="Tahoma" w:cs="Tahoma"/>
          <w:sz w:val="18"/>
          <w:szCs w:val="18"/>
        </w:rPr>
        <w:t xml:space="preserve"> </w:t>
      </w:r>
      <w:r w:rsidRPr="00BE2F6B">
        <w:rPr>
          <w:rFonts w:ascii="Tahoma" w:hAnsi="Tahoma" w:cs="Tahoma"/>
          <w:sz w:val="18"/>
          <w:szCs w:val="18"/>
          <w:lang w:val="sr-Cyrl-RS"/>
        </w:rPr>
        <w:t xml:space="preserve">Подаци из </w:t>
      </w:r>
      <w:proofErr w:type="spellStart"/>
      <w:r w:rsidRPr="00BE2F6B">
        <w:rPr>
          <w:rFonts w:ascii="Tahoma" w:hAnsi="Tahoma" w:cs="Tahoma"/>
          <w:sz w:val="18"/>
          <w:szCs w:val="18"/>
          <w:lang w:val="sr-Cyrl-RS"/>
        </w:rPr>
        <w:t>Девинфо</w:t>
      </w:r>
      <w:proofErr w:type="spellEnd"/>
      <w:r w:rsidRPr="00BE2F6B">
        <w:rPr>
          <w:rFonts w:ascii="Tahoma" w:hAnsi="Tahoma" w:cs="Tahoma"/>
          <w:sz w:val="18"/>
          <w:szCs w:val="18"/>
          <w:lang w:val="sr-Cyrl-RS"/>
        </w:rPr>
        <w:t xml:space="preserve"> (профили општина). Према подацима са сајта </w:t>
      </w:r>
      <w:hyperlink r:id="rId2" w:history="1">
        <w:r w:rsidRPr="00BE2F6B">
          <w:rPr>
            <w:rStyle w:val="Hyperlink"/>
            <w:rFonts w:ascii="Tahoma" w:hAnsi="Tahoma" w:cs="Tahoma"/>
            <w:sz w:val="18"/>
            <w:szCs w:val="18"/>
            <w:lang w:val="sr-Cyrl-RS"/>
          </w:rPr>
          <w:t>http://www.krupanj.org.rs/index.php?id=62</w:t>
        </w:r>
      </w:hyperlink>
      <w:r w:rsidRPr="00BE2F6B">
        <w:rPr>
          <w:rFonts w:ascii="Tahoma" w:hAnsi="Tahoma" w:cs="Tahoma"/>
          <w:sz w:val="18"/>
          <w:szCs w:val="18"/>
          <w:lang w:val="sr-Cyrl-RS"/>
        </w:rPr>
        <w:t xml:space="preserve"> постоји 17 издвојених одељења</w:t>
      </w:r>
    </w:p>
  </w:footnote>
  <w:footnote w:id="17">
    <w:p w14:paraId="456A9067" w14:textId="77777777" w:rsidR="00C27AD1" w:rsidRPr="00BE2F6B" w:rsidRDefault="00C27AD1">
      <w:pPr>
        <w:pStyle w:val="FootnoteText"/>
        <w:rPr>
          <w:sz w:val="18"/>
          <w:szCs w:val="18"/>
        </w:rPr>
      </w:pPr>
      <w:r w:rsidRPr="00BE2F6B">
        <w:rPr>
          <w:rStyle w:val="FootnoteCharacters"/>
          <w:rFonts w:ascii="Tahoma" w:hAnsi="Tahoma"/>
          <w:sz w:val="18"/>
          <w:szCs w:val="18"/>
        </w:rPr>
        <w:footnoteRef/>
      </w:r>
      <w:r w:rsidRPr="00BE2F6B">
        <w:rPr>
          <w:sz w:val="18"/>
          <w:szCs w:val="18"/>
        </w:rPr>
        <w:t xml:space="preserve"> </w:t>
      </w:r>
      <w:r w:rsidRPr="00BE2F6B">
        <w:rPr>
          <w:rFonts w:ascii="Tahoma" w:hAnsi="Tahoma" w:cs="Tahoma"/>
          <w:sz w:val="18"/>
          <w:szCs w:val="18"/>
          <w:lang w:val="sr-Cyrl-RS"/>
        </w:rPr>
        <w:t>Ово је необичан налаз обзиром да већина оптшина у Србији, ако и просек за Србију и регионе показује константан пад од 2012. године, што може бити пад из методолошких разлога, рецимо неадеквано праћење миграција и слично.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b/>
        <w:color w:val="1F3864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b/>
        <w:color w:val="1F3864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2C9"/>
    <w:rsid w:val="0006065A"/>
    <w:rsid w:val="00091810"/>
    <w:rsid w:val="0009236F"/>
    <w:rsid w:val="000C60E5"/>
    <w:rsid w:val="00186EC8"/>
    <w:rsid w:val="0019689B"/>
    <w:rsid w:val="001A0C0E"/>
    <w:rsid w:val="001A1FFC"/>
    <w:rsid w:val="00252C65"/>
    <w:rsid w:val="00367035"/>
    <w:rsid w:val="003A6030"/>
    <w:rsid w:val="003D171D"/>
    <w:rsid w:val="004456D5"/>
    <w:rsid w:val="005F32C9"/>
    <w:rsid w:val="0064290E"/>
    <w:rsid w:val="00665D6D"/>
    <w:rsid w:val="006E5CE0"/>
    <w:rsid w:val="00732914"/>
    <w:rsid w:val="007C5425"/>
    <w:rsid w:val="0080788E"/>
    <w:rsid w:val="00816118"/>
    <w:rsid w:val="008C1718"/>
    <w:rsid w:val="008F542E"/>
    <w:rsid w:val="009B3566"/>
    <w:rsid w:val="00A17E3B"/>
    <w:rsid w:val="00A57C0C"/>
    <w:rsid w:val="00BE2F6B"/>
    <w:rsid w:val="00C110D7"/>
    <w:rsid w:val="00C27AD1"/>
    <w:rsid w:val="00C94540"/>
    <w:rsid w:val="00CA1AC5"/>
    <w:rsid w:val="00CC442E"/>
    <w:rsid w:val="00D72F0D"/>
    <w:rsid w:val="00DF2FD3"/>
    <w:rsid w:val="00E7783A"/>
    <w:rsid w:val="00F4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8184117"/>
  <w15:chartTrackingRefBased/>
  <w15:docId w15:val="{AC7CA68B-6769-E249-A982-6BB26899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259" w:lineRule="auto"/>
      <w:outlineLvl w:val="0"/>
    </w:pPr>
    <w:rPr>
      <w:rFonts w:ascii="Calibri Light" w:eastAsia="font510" w:hAnsi="Calibri Light" w:cs="font510"/>
      <w:color w:val="2F549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40"/>
      <w:outlineLvl w:val="1"/>
    </w:pPr>
    <w:rPr>
      <w:rFonts w:ascii="Calibri Light" w:eastAsia="font510" w:hAnsi="Calibri Light" w:cs="font510"/>
      <w:color w:val="2F549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</w:style>
  <w:style w:type="character" w:customStyle="1" w:styleId="FootnoteTextChar">
    <w:name w:val="Footnote Text Char"/>
    <w:basedOn w:val="DefaultParagraphFont1"/>
  </w:style>
  <w:style w:type="character" w:customStyle="1" w:styleId="FootnoteCharacters">
    <w:name w:val="Footnote Characters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rPr>
      <w:color w:val="0563C1"/>
      <w:u w:val="single"/>
    </w:rPr>
  </w:style>
  <w:style w:type="character" w:customStyle="1" w:styleId="BalloonTextChar">
    <w:name w:val="Balloon Text Char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rPr>
      <w:rFonts w:ascii="Times New Roman" w:eastAsia="Times New Roman" w:hAnsi="Times New Roman" w:cs="Times New Roman"/>
    </w:rPr>
  </w:style>
  <w:style w:type="character" w:customStyle="1" w:styleId="FooterChar">
    <w:name w:val="Footer Char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rPr>
      <w:rFonts w:ascii="Calibri Light" w:eastAsia="font510" w:hAnsi="Calibri Light" w:cs="font510"/>
      <w:color w:val="2F5496"/>
      <w:sz w:val="32"/>
      <w:szCs w:val="32"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CommentTextChar">
    <w:name w:val="Comment Text Char"/>
    <w:rPr>
      <w:sz w:val="20"/>
      <w:szCs w:val="20"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rPr>
      <w:rFonts w:ascii="Calibri Light" w:eastAsia="font510" w:hAnsi="Calibri Light" w:cs="font510"/>
      <w:color w:val="2F5496"/>
      <w:sz w:val="26"/>
      <w:szCs w:val="26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ascii="Tahoma" w:hAnsi="Tahoma"/>
      <w:b/>
      <w:color w:val="1F3864"/>
      <w:sz w:val="22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ascii="Tahoma" w:hAnsi="Tahoma"/>
      <w:b/>
      <w:color w:val="1F3864"/>
      <w:sz w:val="22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ascii="Tahoma" w:eastAsia="Open Sans" w:hAnsi="Tahoma" w:cs="Tahoma"/>
      <w:sz w:val="18"/>
      <w:szCs w:val="18"/>
      <w:lang w:val="sr-Cyrl-RS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rPr>
      <w:rFonts w:ascii="Calibri" w:hAnsi="Calibri" w:cs="font510"/>
    </w:rPr>
  </w:style>
  <w:style w:type="paragraph" w:styleId="ListParagraph">
    <w:name w:val="List Paragraph"/>
    <w:basedOn w:val="Normal"/>
    <w:qFormat/>
    <w:pPr>
      <w:ind w:left="720"/>
      <w:contextualSpacing/>
    </w:pPr>
    <w:rPr>
      <w:rFonts w:ascii="Calibri" w:eastAsia="Calibri" w:hAnsi="Calibri" w:cs="font510"/>
    </w:rPr>
  </w:style>
  <w:style w:type="paragraph" w:customStyle="1" w:styleId="MediumGrid1-Accent21">
    <w:name w:val="Medium Grid 1 - Accent 21"/>
    <w:basedOn w:val="Normal"/>
    <w:pPr>
      <w:spacing w:before="120" w:after="200" w:line="276" w:lineRule="auto"/>
      <w:ind w:left="720"/>
      <w:contextualSpacing/>
    </w:pPr>
    <w:rPr>
      <w:rFonts w:eastAsia="Calibr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paragraph" w:customStyle="1" w:styleId="CommentText1">
    <w:name w:val="Comment Text1"/>
    <w:basedOn w:val="Normal"/>
    <w:pPr>
      <w:spacing w:after="160"/>
    </w:pPr>
    <w:rPr>
      <w:rFonts w:ascii="Calibri" w:eastAsia="Calibri" w:hAnsi="Calibri" w:cs="font510"/>
      <w:sz w:val="20"/>
      <w:szCs w:val="20"/>
    </w:rPr>
  </w:style>
  <w:style w:type="paragraph" w:customStyle="1" w:styleId="CommentSubject1">
    <w:name w:val="Comment Subject1"/>
    <w:basedOn w:val="CommentText1"/>
    <w:next w:val="CommentText1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styleId="CommentReference">
    <w:name w:val="annotation reference"/>
    <w:uiPriority w:val="99"/>
    <w:semiHidden/>
    <w:unhideWhenUsed/>
    <w:rsid w:val="001A0C0E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1A0C0E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1A0C0E"/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1A0C0E"/>
    <w:rPr>
      <w:b/>
      <w:bCs/>
      <w:lang w:val="x-none" w:eastAsia="x-none"/>
    </w:rPr>
  </w:style>
  <w:style w:type="character" w:customStyle="1" w:styleId="CommentSubjectChar1">
    <w:name w:val="Comment Subject Char1"/>
    <w:link w:val="CommentSubject"/>
    <w:uiPriority w:val="99"/>
    <w:semiHidden/>
    <w:rsid w:val="001A0C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chart" Target="charts/chart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evinfo.stat.gov.rs/diSrbija/diHome.aspx" TargetMode="External"/><Relationship Id="rId14" Type="http://schemas.openxmlformats.org/officeDocument/2006/relationships/image" Target="media/image3.emf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rupanj.org.rs/index.php?id=62" TargetMode="External"/><Relationship Id="rId1" Type="http://schemas.openxmlformats.org/officeDocument/2006/relationships/hyperlink" Target="https://mpn.gov.rs/kategorija_dokumenata/strategije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/Users/katarinastanic/Dropbox/SKGO/2022/Analize/Iva%20fajlovi/&#1050;&#1056;&#1059;&#1055;&#1040;&#1034;/&#1050;&#1088;&#1091;&#1087;&#1072;&#1114;%20-%20&#1075;&#1088;&#1072;&#1092;&#1080;&#1082;&#1086;&#1085;&#1080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/C:\Users\Milan\Desktop\KETI-IVA-2022\&#1087;&#1088;&#1086;&#1092;&#1080;&#1083;&#1080;%20&#1086;&#1087;&#1096;&#1090;&#1080;&#1085;&#1072;\DI_Profil_Krupanj_EURSRB002001003005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/C:\Users\Milan\Desktop\KETI-IVA-2022\&#1087;&#1088;&#1086;&#1092;&#1080;&#1083;&#1080;%20&#1086;&#1087;&#1096;&#1090;&#1080;&#1085;&#1072;\DI_Profil_Krupanj_EURSRB00200100300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57878467937876E-2"/>
          <c:y val="3.688544745860256E-2"/>
          <c:w val="0.87988246218818766"/>
          <c:h val="0.7469961022314072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'крупањ-G2'!$F$28</c:f>
              <c:strCache>
                <c:ptCount val="1"/>
                <c:pt idx="0">
                  <c:v>СРБИЈА - ЈУГ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1" i="0" u="none" strike="noStrike" baseline="0">
                    <a:solidFill>
                      <a:srgbClr val="FFFFFF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'крупањ-G2'!$G$27:$I$27</c:f>
              <c:strCache>
                <c:ptCount val="3"/>
                <c:pt idx="0">
                  <c:v>0-3</c:v>
                </c:pt>
                <c:pt idx="1">
                  <c:v>3-полазак у ППП</c:v>
                </c:pt>
                <c:pt idx="2">
                  <c:v>ППП</c:v>
                </c:pt>
              </c:strCache>
            </c:strRef>
          </c:cat>
          <c:val>
            <c:numRef>
              <c:f>'крупањ-G2'!$G$28:$I$28</c:f>
              <c:numCache>
                <c:formatCode>General</c:formatCode>
                <c:ptCount val="3"/>
                <c:pt idx="0">
                  <c:v>21.87</c:v>
                </c:pt>
                <c:pt idx="1">
                  <c:v>52.73</c:v>
                </c:pt>
                <c:pt idx="2">
                  <c:v>98.07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6F0-864B-BECF-EF6ABCF3BF12}"/>
            </c:ext>
          </c:extLst>
        </c:ser>
        <c:ser>
          <c:idx val="1"/>
          <c:order val="1"/>
          <c:tx>
            <c:strRef>
              <c:f>'крупањ-G2'!$F$29</c:f>
              <c:strCache>
                <c:ptCount val="1"/>
                <c:pt idx="0">
                  <c:v>Мачванска област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1" i="0" u="none" strike="noStrike" baseline="0">
                    <a:solidFill>
                      <a:srgbClr val="FFFFFF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'крупањ-G2'!$G$27:$I$27</c:f>
              <c:strCache>
                <c:ptCount val="3"/>
                <c:pt idx="0">
                  <c:v>0-3</c:v>
                </c:pt>
                <c:pt idx="1">
                  <c:v>3-полазак у ППП</c:v>
                </c:pt>
                <c:pt idx="2">
                  <c:v>ППП</c:v>
                </c:pt>
              </c:strCache>
            </c:strRef>
          </c:cat>
          <c:val>
            <c:numRef>
              <c:f>'крупањ-G2'!$G$29:$I$29</c:f>
              <c:numCache>
                <c:formatCode>General</c:formatCode>
                <c:ptCount val="3"/>
                <c:pt idx="0">
                  <c:v>15.27</c:v>
                </c:pt>
                <c:pt idx="1">
                  <c:v>48.83</c:v>
                </c:pt>
                <c:pt idx="2">
                  <c:v>103.13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6F0-864B-BECF-EF6ABCF3BF12}"/>
            </c:ext>
          </c:extLst>
        </c:ser>
        <c:ser>
          <c:idx val="2"/>
          <c:order val="2"/>
          <c:tx>
            <c:strRef>
              <c:f>'крупањ-G2'!$F$30</c:f>
              <c:strCache>
                <c:ptCount val="1"/>
                <c:pt idx="0">
                  <c:v>Крупањ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1" i="0" u="none" strike="noStrike" baseline="0">
                    <a:solidFill>
                      <a:srgbClr val="FFFFFF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'крупањ-G2'!$G$27:$I$27</c:f>
              <c:strCache>
                <c:ptCount val="3"/>
                <c:pt idx="0">
                  <c:v>0-3</c:v>
                </c:pt>
                <c:pt idx="1">
                  <c:v>3-полазак у ППП</c:v>
                </c:pt>
                <c:pt idx="2">
                  <c:v>ППП</c:v>
                </c:pt>
              </c:strCache>
            </c:strRef>
          </c:cat>
          <c:val>
            <c:numRef>
              <c:f>'крупањ-G2'!$G$30:$I$30</c:f>
              <c:numCache>
                <c:formatCode>General</c:formatCode>
                <c:ptCount val="3"/>
                <c:pt idx="0">
                  <c:v>12.3</c:v>
                </c:pt>
                <c:pt idx="1">
                  <c:v>52.9</c:v>
                </c:pt>
                <c:pt idx="2">
                  <c:v>120.7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6F0-864B-BECF-EF6ABCF3BF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-25"/>
        <c:axId val="130914415"/>
        <c:axId val="1"/>
      </c:barChart>
      <c:lineChart>
        <c:grouping val="stacked"/>
        <c:varyColors val="0"/>
        <c:ser>
          <c:idx val="3"/>
          <c:order val="3"/>
          <c:tx>
            <c:strRef>
              <c:f>'крупањ-G2'!$F$31</c:f>
              <c:strCache>
                <c:ptCount val="1"/>
                <c:pt idx="0">
                  <c:v>2030</c:v>
                </c:pt>
              </c:strCache>
            </c:strRef>
          </c:tx>
          <c:spPr>
            <a:ln>
              <a:noFill/>
            </a:ln>
          </c:spPr>
          <c:marker>
            <c:symbol val="triangle"/>
            <c:size val="12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dPt>
            <c:idx val="0"/>
            <c:marker>
              <c:spPr>
                <a:solidFill>
                  <a:schemeClr val="accent6">
                    <a:lumMod val="60000"/>
                    <a:lumOff val="40000"/>
                  </a:schemeClr>
                </a:solidFill>
                <a:ln>
                  <a:solidFill>
                    <a:srgbClr val="00B050"/>
                  </a:solidFill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E6F0-864B-BECF-EF6ABCF3BF12}"/>
              </c:ext>
            </c:extLst>
          </c:dPt>
          <c:dPt>
            <c:idx val="1"/>
            <c:marker>
              <c:spPr>
                <a:solidFill>
                  <a:schemeClr val="accent6">
                    <a:lumMod val="60000"/>
                    <a:lumOff val="40000"/>
                  </a:schemeClr>
                </a:solidFill>
                <a:ln>
                  <a:solidFill>
                    <a:srgbClr val="00B050"/>
                  </a:solidFill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E6F0-864B-BECF-EF6ABCF3BF12}"/>
              </c:ext>
            </c:extLst>
          </c:dPt>
          <c:dPt>
            <c:idx val="2"/>
            <c:marker>
              <c:spPr>
                <a:solidFill>
                  <a:schemeClr val="accent6">
                    <a:lumMod val="60000"/>
                    <a:lumOff val="40000"/>
                  </a:schemeClr>
                </a:solidFill>
                <a:ln>
                  <a:solidFill>
                    <a:srgbClr val="00B050"/>
                  </a:solidFill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E6F0-864B-BECF-EF6ABCF3BF12}"/>
              </c:ext>
            </c:extLst>
          </c:dPt>
          <c:val>
            <c:numRef>
              <c:f>'крупањ-G2'!$G$31:$I$31</c:f>
              <c:numCache>
                <c:formatCode>General</c:formatCode>
                <c:ptCount val="3"/>
                <c:pt idx="0">
                  <c:v>38</c:v>
                </c:pt>
                <c:pt idx="1">
                  <c:v>75</c:v>
                </c:pt>
                <c:pt idx="2">
                  <c:v>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E6F0-864B-BECF-EF6ABCF3BF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0914415"/>
        <c:axId val="1"/>
      </c:lineChart>
      <c:catAx>
        <c:axId val="1309144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80808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>
              <a:solidFill>
                <a:schemeClr val="bg1">
                  <a:lumMod val="95000"/>
                </a:schemeClr>
              </a:solidFill>
            </a:ln>
          </c:spPr>
        </c:majorGridlines>
        <c:numFmt formatCode="General" sourceLinked="1"/>
        <c:majorTickMark val="none"/>
        <c:minorTickMark val="none"/>
        <c:tickLblPos val="nextTo"/>
        <c:spPr>
          <a:ln>
            <a:noFill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80808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30914415"/>
        <c:crosses val="autoZero"/>
        <c:crossBetween val="between"/>
        <c:majorUnit val="10"/>
      </c:valAx>
    </c:plotArea>
    <c:legend>
      <c:legendPos val="r"/>
      <c:layout>
        <c:manualLayout>
          <c:xMode val="edge"/>
          <c:yMode val="edge"/>
          <c:x val="0.20377685624515027"/>
          <c:y val="0.9030128894619841"/>
          <c:w val="0.56117436047473068"/>
          <c:h val="9.6987207994349539E-2"/>
        </c:manualLayout>
      </c:layout>
      <c:overlay val="0"/>
      <c:txPr>
        <a:bodyPr/>
        <a:lstStyle/>
        <a:p>
          <a:pPr>
            <a:defRPr sz="1100" b="0" i="0" u="none" strike="noStrike" baseline="0">
              <a:solidFill>
                <a:srgbClr val="80808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plotArea>
      <c:layout>
        <c:manualLayout>
          <c:layoutTarget val="inner"/>
          <c:xMode val="edge"/>
          <c:yMode val="edge"/>
          <c:x val="8.171762725453767E-2"/>
          <c:y val="3.8891935915214962E-2"/>
          <c:w val="0.88217363273311755"/>
          <c:h val="0.74914524023528972"/>
        </c:manualLayout>
      </c:layout>
      <c:barChart>
        <c:barDir val="col"/>
        <c:grouping val="stacked"/>
        <c:varyColors val="0"/>
        <c:ser>
          <c:idx val="1"/>
          <c:order val="0"/>
          <c:tx>
            <c:strRef>
              <c:f>OBRAZ3!$A$13</c:f>
              <c:strCache>
                <c:ptCount val="1"/>
                <c:pt idx="0">
                  <c:v> Не плаћају</c:v>
                </c:pt>
              </c:strCache>
            </c:strRef>
          </c:tx>
          <c:spPr>
            <a:solidFill>
              <a:srgbClr val="0067B1"/>
            </a:solidFill>
            <a:ln w="3175">
              <a:noFill/>
            </a:ln>
          </c:spPr>
          <c:invertIfNegative val="0"/>
          <c:dPt>
            <c:idx val="1"/>
            <c:invertIfNegative val="0"/>
            <c:bubble3D val="0"/>
            <c:spPr>
              <a:solidFill>
                <a:srgbClr val="0067B1"/>
              </a:solidFill>
              <a:ln w="3175">
                <a:noFill/>
              </a:ln>
            </c:spPr>
            <c:extLst>
              <c:ext xmlns:c16="http://schemas.microsoft.com/office/drawing/2014/chart" uri="{C3380CC4-5D6E-409C-BE32-E72D297353CC}">
                <c16:uniqueId val="{00000001-1058-784E-A413-8F83DAB2DF39}"/>
              </c:ext>
            </c:extLst>
          </c:dPt>
          <c:dPt>
            <c:idx val="2"/>
            <c:invertIfNegative val="0"/>
            <c:bubble3D val="0"/>
            <c:spPr>
              <a:solidFill>
                <a:srgbClr val="0067B1"/>
              </a:solidFill>
              <a:ln w="3175">
                <a:noFill/>
              </a:ln>
            </c:spPr>
            <c:extLst>
              <c:ext xmlns:c16="http://schemas.microsoft.com/office/drawing/2014/chart" uri="{C3380CC4-5D6E-409C-BE32-E72D297353CC}">
                <c16:uniqueId val="{00000003-1058-784E-A413-8F83DAB2DF39}"/>
              </c:ext>
            </c:extLst>
          </c:dPt>
          <c:dPt>
            <c:idx val="3"/>
            <c:invertIfNegative val="0"/>
            <c:bubble3D val="0"/>
            <c:spPr>
              <a:solidFill>
                <a:srgbClr val="0067B1"/>
              </a:solidFill>
              <a:ln w="3175">
                <a:noFill/>
              </a:ln>
            </c:spPr>
            <c:extLst>
              <c:ext xmlns:c16="http://schemas.microsoft.com/office/drawing/2014/chart" uri="{C3380CC4-5D6E-409C-BE32-E72D297353CC}">
                <c16:uniqueId val="{00000005-1058-784E-A413-8F83DAB2DF39}"/>
              </c:ext>
            </c:extLst>
          </c:dPt>
          <c:dLbls>
            <c:numFmt formatCode="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algn="ctr">
                  <a:defRPr lang="en-US" sz="1000" b="1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OBRAZ3!$B$12:$D$12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OBRAZ3!$B$13:$D$13</c:f>
              <c:numCache>
                <c:formatCode>General</c:formatCode>
                <c:ptCount val="3"/>
                <c:pt idx="0">
                  <c:v>50.9</c:v>
                </c:pt>
                <c:pt idx="1">
                  <c:v>40.200000000000003</c:v>
                </c:pt>
                <c:pt idx="2">
                  <c:v>36.200000000000003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058-784E-A413-8F83DAB2DF39}"/>
            </c:ext>
          </c:extLst>
        </c:ser>
        <c:ser>
          <c:idx val="0"/>
          <c:order val="1"/>
          <c:tx>
            <c:strRef>
              <c:f>OBRAZ3!$A$14</c:f>
              <c:strCache>
                <c:ptCount val="1"/>
                <c:pt idx="0">
                  <c:v> Плаћају регресирану цену</c:v>
                </c:pt>
              </c:strCache>
            </c:strRef>
          </c:tx>
          <c:spPr>
            <a:solidFill>
              <a:srgbClr val="6887EA"/>
            </a:solidFill>
            <a:ln>
              <a:noFill/>
            </a:ln>
          </c:spPr>
          <c:invertIfNegative val="0"/>
          <c:dLbls>
            <c:numFmt formatCode="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algn="ctr">
                  <a:defRPr lang="en-US" sz="1000" b="1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OBRAZ3!$B$12:$D$12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OBRAZ3!$B$14:$D$14</c:f>
              <c:numCache>
                <c:formatCode>General</c:formatCode>
                <c:ptCount val="3"/>
                <c:pt idx="0">
                  <c:v>11.3</c:v>
                </c:pt>
                <c:pt idx="1">
                  <c:v>1.4</c:v>
                </c:pt>
                <c:pt idx="2">
                  <c:v>1.9000000000000001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1058-784E-A413-8F83DAB2DF39}"/>
            </c:ext>
          </c:extLst>
        </c:ser>
        <c:ser>
          <c:idx val="2"/>
          <c:order val="2"/>
          <c:tx>
            <c:strRef>
              <c:f>OBRAZ3!$A$15</c:f>
              <c:strCache>
                <c:ptCount val="1"/>
                <c:pt idx="0">
                  <c:v> Плаћају пуну цену</c:v>
                </c:pt>
              </c:strCache>
            </c:strRef>
          </c:tx>
          <c:spPr>
            <a:solidFill>
              <a:srgbClr val="C0C0C0"/>
            </a:solidFill>
            <a:ln>
              <a:noFill/>
            </a:ln>
          </c:spPr>
          <c:invertIfNegative val="0"/>
          <c:dLbls>
            <c:numFmt formatCode="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OBRAZ3!$B$12:$D$12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OBRAZ3!$B$15:$D$15</c:f>
              <c:numCache>
                <c:formatCode>General</c:formatCode>
                <c:ptCount val="3"/>
                <c:pt idx="0">
                  <c:v>37.700000000000003</c:v>
                </c:pt>
                <c:pt idx="1">
                  <c:v>58.4</c:v>
                </c:pt>
                <c:pt idx="2">
                  <c:v>61.9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058-784E-A413-8F83DAB2DF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6"/>
        <c:overlap val="100"/>
        <c:axId val="50160768"/>
        <c:axId val="50162304"/>
      </c:barChart>
      <c:catAx>
        <c:axId val="50160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50162304"/>
        <c:crosses val="autoZero"/>
        <c:auto val="1"/>
        <c:lblAlgn val="ctr"/>
        <c:lblOffset val="100"/>
        <c:noMultiLvlLbl val="0"/>
      </c:catAx>
      <c:valAx>
        <c:axId val="50162304"/>
        <c:scaling>
          <c:orientation val="minMax"/>
          <c:max val="100"/>
          <c:min val="0"/>
        </c:scaling>
        <c:delete val="0"/>
        <c:axPos val="l"/>
        <c:majorGridlines>
          <c:spPr>
            <a:ln w="12700">
              <a:solidFill>
                <a:schemeClr val="bg1">
                  <a:lumMod val="65000"/>
                </a:schemeClr>
              </a:solidFill>
              <a:prstDash val="dash"/>
            </a:ln>
          </c:spPr>
        </c:majorGridlines>
        <c:numFmt formatCode="General" sourceLinked="0"/>
        <c:majorTickMark val="out"/>
        <c:minorTickMark val="none"/>
        <c:tickLblPos val="nextTo"/>
        <c:spPr>
          <a:ln>
            <a:noFill/>
          </a:ln>
        </c:spPr>
        <c:txPr>
          <a:bodyPr/>
          <a:lstStyle/>
          <a:p>
            <a:pPr algn="ctr">
              <a:defRPr lang="en-US" sz="1000" b="0" i="0" u="none" strike="noStrike" kern="1200" baseline="0">
                <a:solidFill>
                  <a:sysClr val="windowText" lastClr="000000"/>
                </a:solidFill>
                <a:latin typeface="Arial" pitchFamily="34" charset="0"/>
                <a:ea typeface="+mn-ea"/>
                <a:cs typeface="Arial" pitchFamily="34" charset="0"/>
              </a:defRPr>
            </a:pPr>
            <a:endParaRPr lang="en-US"/>
          </a:p>
        </c:txPr>
        <c:crossAx val="50160768"/>
        <c:crosses val="autoZero"/>
        <c:crossBetween val="between"/>
        <c:majorUnit val="10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3.5402076466992068E-2"/>
          <c:y val="0.87251407757269861"/>
          <c:w val="0.93350780574593517"/>
          <c:h val="9.419846404839502E-2"/>
        </c:manualLayout>
      </c:layout>
      <c:overlay val="0"/>
      <c:txPr>
        <a:bodyPr/>
        <a:lstStyle/>
        <a:p>
          <a:pPr>
            <a:defRPr sz="1100">
              <a:latin typeface="Arial" panose="020B0604020202020204" pitchFamily="34" charset="0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7533670556426366E-2"/>
          <c:y val="3.4679038254277011E-2"/>
          <c:w val="0.86882846986563855"/>
          <c:h val="0.797375693712045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OBRAZ6!$A$5</c:f>
              <c:strCache>
                <c:ptCount val="1"/>
                <c:pt idx="0">
                  <c:v> Матичне школе</c:v>
                </c:pt>
              </c:strCache>
            </c:strRef>
          </c:tx>
          <c:spPr>
            <a:solidFill>
              <a:srgbClr val="0067B1"/>
            </a:solidFill>
            <a:ln w="3175">
              <a:noFill/>
            </a:ln>
          </c:spPr>
          <c:invertIfNegative val="0"/>
          <c:dLbls>
            <c:numFmt formatCode="0" sourceLinked="0"/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1000" baseline="0">
                    <a:latin typeface="Arial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OBRAZ6!$B$4:$C$4</c:f>
              <c:strCache>
                <c:ptCount val="2"/>
                <c:pt idx="0">
                  <c:v>Градска насеља</c:v>
                </c:pt>
                <c:pt idx="1">
                  <c:v>Остала насеља</c:v>
                </c:pt>
              </c:strCache>
            </c:strRef>
          </c:cat>
          <c:val>
            <c:numRef>
              <c:f>OBRAZ6!$B$5:$C$5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C3B-0742-8C2E-8B949B75BA9C}"/>
            </c:ext>
          </c:extLst>
        </c:ser>
        <c:ser>
          <c:idx val="1"/>
          <c:order val="1"/>
          <c:tx>
            <c:strRef>
              <c:f>OBRAZ6!$A$6</c:f>
              <c:strCache>
                <c:ptCount val="1"/>
                <c:pt idx="0">
                  <c:v> Подручна одељења</c:v>
                </c:pt>
              </c:strCache>
            </c:strRef>
          </c:tx>
          <c:spPr>
            <a:solidFill>
              <a:srgbClr val="C0C0C0"/>
            </a:solidFill>
            <a:ln w="3175">
              <a:noFill/>
            </a:ln>
          </c:spPr>
          <c:invertIfNegative val="0"/>
          <c:dLbls>
            <c:numFmt formatCode="0" sourceLinked="0"/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1000" baseline="0">
                    <a:latin typeface="Arial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OBRAZ6!$B$4:$C$4</c:f>
              <c:strCache>
                <c:ptCount val="2"/>
                <c:pt idx="0">
                  <c:v>Градска насеља</c:v>
                </c:pt>
                <c:pt idx="1">
                  <c:v>Остала насеља</c:v>
                </c:pt>
              </c:strCache>
            </c:strRef>
          </c:cat>
          <c:val>
            <c:numRef>
              <c:f>OBRAZ6!$B$6:$C$6</c:f>
              <c:numCache>
                <c:formatCode>General</c:formatCode>
                <c:ptCount val="2"/>
                <c:pt idx="0">
                  <c:v>0</c:v>
                </c:pt>
                <c:pt idx="1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C3B-0742-8C2E-8B949B75BA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6"/>
        <c:overlap val="-7"/>
        <c:axId val="50332032"/>
        <c:axId val="50333568"/>
      </c:barChart>
      <c:catAx>
        <c:axId val="503320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100" baseline="0">
                <a:latin typeface="Arial" pitchFamily="34" charset="0"/>
              </a:defRPr>
            </a:pPr>
            <a:endParaRPr lang="en-US"/>
          </a:p>
        </c:txPr>
        <c:crossAx val="50333568"/>
        <c:crosses val="autoZero"/>
        <c:auto val="1"/>
        <c:lblAlgn val="ctr"/>
        <c:lblOffset val="100"/>
        <c:noMultiLvlLbl val="0"/>
      </c:catAx>
      <c:valAx>
        <c:axId val="50333568"/>
        <c:scaling>
          <c:orientation val="minMax"/>
          <c:min val="0"/>
        </c:scaling>
        <c:delete val="0"/>
        <c:axPos val="l"/>
        <c:majorGridlines>
          <c:spPr>
            <a:ln w="12700">
              <a:solidFill>
                <a:schemeClr val="bg1">
                  <a:lumMod val="65000"/>
                </a:schemeClr>
              </a:solidFill>
              <a:prstDash val="dash"/>
            </a:ln>
          </c:spPr>
        </c:majorGridlines>
        <c:numFmt formatCode="0" sourceLinked="0"/>
        <c:majorTickMark val="none"/>
        <c:minorTickMark val="none"/>
        <c:tickLblPos val="nextTo"/>
        <c:spPr>
          <a:ln>
            <a:noFill/>
          </a:ln>
        </c:spPr>
        <c:txPr>
          <a:bodyPr/>
          <a:lstStyle/>
          <a:p>
            <a:pPr>
              <a:defRPr baseline="0">
                <a:latin typeface="Arial" pitchFamily="34" charset="0"/>
              </a:defRPr>
            </a:pPr>
            <a:endParaRPr lang="en-US"/>
          </a:p>
        </c:txPr>
        <c:crossAx val="50332032"/>
        <c:crosses val="autoZero"/>
        <c:crossBetween val="between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18529242292694811"/>
          <c:y val="0.90618784528065655"/>
          <c:w val="0.66075477487089018"/>
          <c:h val="7.7806444755830137E-2"/>
        </c:manualLayout>
      </c:layout>
      <c:overlay val="0"/>
      <c:txPr>
        <a:bodyPr/>
        <a:lstStyle/>
        <a:p>
          <a:pPr>
            <a:defRPr sz="1100" baseline="0">
              <a:latin typeface="Arial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B6D7F-D78F-AC4C-9E0D-1E03C0CB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14</Pages>
  <Words>3423</Words>
  <Characters>19513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22891</CharactersWithSpaces>
  <SharedDoc>false</SharedDoc>
  <HLinks>
    <vt:vector size="18" baseType="variant">
      <vt:variant>
        <vt:i4>7602222</vt:i4>
      </vt:variant>
      <vt:variant>
        <vt:i4>3</vt:i4>
      </vt:variant>
      <vt:variant>
        <vt:i4>0</vt:i4>
      </vt:variant>
      <vt:variant>
        <vt:i4>5</vt:i4>
      </vt:variant>
      <vt:variant>
        <vt:lpwstr>http://devinfo.stat.gov.rs/diSrbija/diHome.aspx</vt:lpwstr>
      </vt:variant>
      <vt:variant>
        <vt:lpwstr/>
      </vt:variant>
      <vt:variant>
        <vt:i4>4915228</vt:i4>
      </vt:variant>
      <vt:variant>
        <vt:i4>3</vt:i4>
      </vt:variant>
      <vt:variant>
        <vt:i4>0</vt:i4>
      </vt:variant>
      <vt:variant>
        <vt:i4>5</vt:i4>
      </vt:variant>
      <vt:variant>
        <vt:lpwstr>http://www.krupanj.org.rs/index.php?id=62</vt:lpwstr>
      </vt:variant>
      <vt:variant>
        <vt:lpwstr/>
      </vt:variant>
      <vt:variant>
        <vt:i4>6946887</vt:i4>
      </vt:variant>
      <vt:variant>
        <vt:i4>0</vt:i4>
      </vt:variant>
      <vt:variant>
        <vt:i4>0</vt:i4>
      </vt:variant>
      <vt:variant>
        <vt:i4>5</vt:i4>
      </vt:variant>
      <vt:variant>
        <vt:lpwstr>https://mpn.gov.rs/kategorija_dokumenata/strategije/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Stanic</dc:creator>
  <cp:keywords/>
  <dc:description/>
  <cp:lastModifiedBy>Katarina Stanic</cp:lastModifiedBy>
  <cp:revision>3</cp:revision>
  <dcterms:created xsi:type="dcterms:W3CDTF">2022-11-02T12:02:00Z</dcterms:created>
  <dcterms:modified xsi:type="dcterms:W3CDTF">2022-11-15T23:11:00Z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ntentTypeId">
    <vt:lpwstr>0x010100B61A336CCEFF214494797E5BB79162B8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